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1515" w14:textId="17DABEEB" w:rsidR="00730BB9" w:rsidRPr="00917C15" w:rsidRDefault="00730BB9" w:rsidP="00917C15">
      <w:pPr>
        <w:pStyle w:val="BalloonText"/>
        <w:ind w:left="0" w:hanging="2"/>
        <w:jc w:val="center"/>
        <w:rPr>
          <w:rFonts w:ascii="Times New Roman" w:hAnsi="Times New Roman" w:cs="Times New Roman"/>
          <w:i/>
          <w:iCs/>
          <w:sz w:val="24"/>
          <w:szCs w:val="24"/>
        </w:rPr>
      </w:pPr>
    </w:p>
    <w:p w14:paraId="6510C1E2" w14:textId="77777777" w:rsidR="00730BB9" w:rsidRPr="00917C15" w:rsidRDefault="00000000" w:rsidP="00917C15">
      <w:pPr>
        <w:spacing w:after="0" w:line="240" w:lineRule="auto"/>
        <w:ind w:left="0" w:hanging="2"/>
        <w:jc w:val="center"/>
      </w:pPr>
      <w:bookmarkStart w:id="0" w:name="_heading=h.gjdgxs" w:colFirst="0" w:colLast="0"/>
      <w:bookmarkEnd w:id="0"/>
      <w:r w:rsidRPr="00917C15">
        <w:rPr>
          <w:b/>
          <w:noProof/>
        </w:rPr>
        <w:drawing>
          <wp:inline distT="0" distB="0" distL="114300" distR="114300" wp14:anchorId="4AA6C257" wp14:editId="7A7A4E88">
            <wp:extent cx="5730240" cy="930910"/>
            <wp:effectExtent l="0" t="0" r="0" b="0"/>
            <wp:docPr id="10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730240" cy="930910"/>
                    </a:xfrm>
                    <a:prstGeom prst="rect">
                      <a:avLst/>
                    </a:prstGeom>
                    <a:ln/>
                  </pic:spPr>
                </pic:pic>
              </a:graphicData>
            </a:graphic>
          </wp:inline>
        </w:drawing>
      </w:r>
    </w:p>
    <w:p w14:paraId="4EEAF396" w14:textId="3B72E4B0" w:rsidR="00730BB9" w:rsidRPr="00917C15" w:rsidRDefault="00000000" w:rsidP="00917C15">
      <w:pPr>
        <w:spacing w:after="0" w:line="240" w:lineRule="auto"/>
        <w:ind w:left="0" w:hanging="2"/>
        <w:jc w:val="center"/>
        <w:rPr>
          <w:sz w:val="20"/>
          <w:szCs w:val="20"/>
        </w:rPr>
      </w:pPr>
      <w:r w:rsidRPr="00917C15">
        <w:rPr>
          <w:b/>
          <w:sz w:val="20"/>
          <w:szCs w:val="20"/>
        </w:rPr>
        <w:t>DOI:</w:t>
      </w:r>
      <w:r w:rsidRPr="00917C15">
        <w:rPr>
          <w:sz w:val="20"/>
          <w:szCs w:val="20"/>
        </w:rPr>
        <w:t xml:space="preserve"> </w:t>
      </w:r>
      <w:hyperlink r:id="rId9">
        <w:r w:rsidR="00A37E68">
          <w:rPr>
            <w:color w:val="0563C1"/>
            <w:sz w:val="20"/>
            <w:szCs w:val="20"/>
            <w:u w:val="single"/>
          </w:rPr>
          <w:t>https://doi.org/10.38035/jihhp.v5i4</w:t>
        </w:r>
      </w:hyperlink>
    </w:p>
    <w:p w14:paraId="268F9E55" w14:textId="075D79B2" w:rsidR="00730BB9" w:rsidRPr="00917C15" w:rsidRDefault="00730BB9" w:rsidP="00917C15">
      <w:pPr>
        <w:pBdr>
          <w:bottom w:val="single" w:sz="6" w:space="1" w:color="000000"/>
        </w:pBdr>
        <w:spacing w:after="0" w:line="240" w:lineRule="auto"/>
        <w:ind w:left="0" w:hanging="2"/>
        <w:jc w:val="center"/>
        <w:rPr>
          <w:sz w:val="20"/>
          <w:szCs w:val="20"/>
        </w:rPr>
      </w:pPr>
      <w:hyperlink r:id="rId10">
        <w:r w:rsidRPr="00917C15">
          <w:rPr>
            <w:color w:val="0563C1"/>
            <w:sz w:val="20"/>
            <w:szCs w:val="20"/>
            <w:u w:val="single"/>
          </w:rPr>
          <w:t>https://creativecommons.org/licenses/by/4.0/</w:t>
        </w:r>
      </w:hyperlink>
    </w:p>
    <w:p w14:paraId="6EB9D860" w14:textId="5699F421" w:rsidR="00730BB9" w:rsidRPr="00917C15" w:rsidRDefault="00730BB9" w:rsidP="00917C15">
      <w:pPr>
        <w:spacing w:after="0" w:line="240" w:lineRule="auto"/>
        <w:ind w:left="0" w:hanging="2"/>
        <w:jc w:val="center"/>
      </w:pPr>
    </w:p>
    <w:p w14:paraId="6AAECF3D" w14:textId="76467222" w:rsidR="00730BB9" w:rsidRPr="00917C15" w:rsidRDefault="00111177" w:rsidP="00917C15">
      <w:pPr>
        <w:spacing w:after="0" w:line="240" w:lineRule="auto"/>
        <w:ind w:left="1" w:hanging="3"/>
        <w:jc w:val="left"/>
        <w:rPr>
          <w:color w:val="000099"/>
          <w:sz w:val="32"/>
          <w:szCs w:val="32"/>
        </w:rPr>
      </w:pPr>
      <w:r w:rsidRPr="00111177">
        <w:rPr>
          <w:b/>
          <w:color w:val="000099"/>
          <w:sz w:val="32"/>
          <w:szCs w:val="32"/>
        </w:rPr>
        <w:t>Skema Pertanggung</w:t>
      </w:r>
      <w:r>
        <w:rPr>
          <w:b/>
          <w:color w:val="000099"/>
          <w:sz w:val="32"/>
          <w:szCs w:val="32"/>
        </w:rPr>
        <w:t xml:space="preserve"> </w:t>
      </w:r>
      <w:r w:rsidRPr="00111177">
        <w:rPr>
          <w:b/>
          <w:color w:val="000099"/>
          <w:sz w:val="32"/>
          <w:szCs w:val="32"/>
        </w:rPr>
        <w:t xml:space="preserve">jawaban </w:t>
      </w:r>
      <w:r>
        <w:rPr>
          <w:b/>
          <w:color w:val="000099"/>
          <w:sz w:val="32"/>
          <w:szCs w:val="32"/>
        </w:rPr>
        <w:t>p</w:t>
      </w:r>
      <w:r w:rsidRPr="00111177">
        <w:rPr>
          <w:b/>
          <w:color w:val="000099"/>
          <w:sz w:val="32"/>
          <w:szCs w:val="32"/>
        </w:rPr>
        <w:t xml:space="preserve">ada Insiden Kecelakaan Nuklir </w:t>
      </w:r>
      <w:r>
        <w:rPr>
          <w:b/>
          <w:color w:val="000099"/>
          <w:sz w:val="32"/>
          <w:szCs w:val="32"/>
        </w:rPr>
        <w:t>d</w:t>
      </w:r>
      <w:r w:rsidRPr="00111177">
        <w:rPr>
          <w:b/>
          <w:color w:val="000099"/>
          <w:sz w:val="32"/>
          <w:szCs w:val="32"/>
        </w:rPr>
        <w:t>alam Perspektif Hukum Internasional (Studi Pasca Ledakan Reaktor Nuklir Chernobyl)</w:t>
      </w:r>
    </w:p>
    <w:p w14:paraId="4F513472" w14:textId="2B26BF28" w:rsidR="00730BB9" w:rsidRPr="00917C15" w:rsidRDefault="00000000" w:rsidP="00917C15">
      <w:pPr>
        <w:spacing w:after="0" w:line="240" w:lineRule="auto"/>
        <w:ind w:left="0" w:hanging="2"/>
        <w:jc w:val="center"/>
      </w:pPr>
      <w:r w:rsidRPr="00917C15">
        <w:rPr>
          <w:highlight w:val="yellow"/>
        </w:rPr>
        <w:br/>
      </w:r>
    </w:p>
    <w:p w14:paraId="7955D8B8" w14:textId="2903CD49" w:rsidR="00730BB9" w:rsidRPr="00917C15" w:rsidRDefault="00111177" w:rsidP="00917C15">
      <w:pPr>
        <w:spacing w:after="0" w:line="240" w:lineRule="auto"/>
        <w:ind w:left="0" w:hanging="2"/>
        <w:jc w:val="left"/>
      </w:pPr>
      <w:r w:rsidRPr="00111177">
        <w:rPr>
          <w:b/>
        </w:rPr>
        <w:t>Miradelmar Ribka Andjia</w:t>
      </w:r>
      <w:r w:rsidRPr="00917C15">
        <w:rPr>
          <w:b/>
          <w:vertAlign w:val="superscript"/>
        </w:rPr>
        <w:t>1</w:t>
      </w:r>
      <w:r w:rsidRPr="00917C15">
        <w:rPr>
          <w:b/>
        </w:rPr>
        <w:t xml:space="preserve">, </w:t>
      </w:r>
      <w:r w:rsidRPr="00111177">
        <w:rPr>
          <w:b/>
        </w:rPr>
        <w:t>Mahendra Putra Kurnia</w:t>
      </w:r>
      <w:r w:rsidRPr="00917C15">
        <w:rPr>
          <w:b/>
          <w:vertAlign w:val="superscript"/>
        </w:rPr>
        <w:t>2</w:t>
      </w:r>
      <w:r w:rsidRPr="00917C15">
        <w:rPr>
          <w:b/>
        </w:rPr>
        <w:t xml:space="preserve">, </w:t>
      </w:r>
      <w:r w:rsidRPr="00111177">
        <w:rPr>
          <w:b/>
        </w:rPr>
        <w:t>Insan Tajalinur</w:t>
      </w:r>
      <w:r w:rsidRPr="00917C15">
        <w:rPr>
          <w:b/>
          <w:vertAlign w:val="superscript"/>
        </w:rPr>
        <w:t>3</w:t>
      </w:r>
      <w:r w:rsidRPr="00917C15">
        <w:rPr>
          <w:b/>
        </w:rPr>
        <w:t>.</w:t>
      </w:r>
    </w:p>
    <w:p w14:paraId="6D680CD8" w14:textId="3A8A5D40" w:rsidR="00730BB9" w:rsidRPr="00917C15" w:rsidRDefault="00000000" w:rsidP="00917C15">
      <w:pPr>
        <w:spacing w:after="0" w:line="240" w:lineRule="auto"/>
        <w:ind w:left="0" w:hanging="2"/>
        <w:rPr>
          <w:sz w:val="22"/>
        </w:rPr>
      </w:pPr>
      <w:r w:rsidRPr="00917C15">
        <w:rPr>
          <w:sz w:val="22"/>
          <w:vertAlign w:val="superscript"/>
        </w:rPr>
        <w:t>1</w:t>
      </w:r>
      <w:r w:rsidR="00111177" w:rsidRPr="00111177">
        <w:rPr>
          <w:sz w:val="22"/>
        </w:rPr>
        <w:t>Universitas Mulawarman, Samarinda, Indonesia, ribka.andjia98@gmail.com</w:t>
      </w:r>
      <w:r w:rsidRPr="00917C15">
        <w:rPr>
          <w:sz w:val="22"/>
        </w:rPr>
        <w:t xml:space="preserve">. </w:t>
      </w:r>
    </w:p>
    <w:p w14:paraId="4BC19A00" w14:textId="131F33F3" w:rsidR="00730BB9" w:rsidRPr="00917C15" w:rsidRDefault="00000000" w:rsidP="00917C15">
      <w:pPr>
        <w:spacing w:after="0" w:line="240" w:lineRule="auto"/>
        <w:ind w:left="0" w:hanging="2"/>
        <w:rPr>
          <w:sz w:val="22"/>
        </w:rPr>
      </w:pPr>
      <w:r w:rsidRPr="00917C15">
        <w:rPr>
          <w:sz w:val="22"/>
          <w:vertAlign w:val="superscript"/>
        </w:rPr>
        <w:t>2</w:t>
      </w:r>
      <w:r w:rsidR="00111177" w:rsidRPr="00111177">
        <w:rPr>
          <w:sz w:val="22"/>
        </w:rPr>
        <w:t>Universitas Mulawarman, Samarinda, Indonesia, mp_sheva@yahoo.com</w:t>
      </w:r>
      <w:r w:rsidRPr="00917C15">
        <w:rPr>
          <w:sz w:val="22"/>
        </w:rPr>
        <w:t xml:space="preserve">. </w:t>
      </w:r>
    </w:p>
    <w:p w14:paraId="5D3DE29E" w14:textId="40A5EEDC" w:rsidR="00730BB9" w:rsidRPr="00917C15" w:rsidRDefault="00000000" w:rsidP="00917C15">
      <w:pPr>
        <w:spacing w:after="0" w:line="240" w:lineRule="auto"/>
        <w:ind w:left="0" w:hanging="2"/>
        <w:rPr>
          <w:sz w:val="22"/>
        </w:rPr>
      </w:pPr>
      <w:r w:rsidRPr="00917C15">
        <w:rPr>
          <w:sz w:val="22"/>
          <w:vertAlign w:val="superscript"/>
        </w:rPr>
        <w:t>3</w:t>
      </w:r>
      <w:r w:rsidR="00111177" w:rsidRPr="00111177">
        <w:rPr>
          <w:sz w:val="22"/>
        </w:rPr>
        <w:t xml:space="preserve">Universitas Mulawarman, Samarinda, Indonesia, </w:t>
      </w:r>
      <w:r w:rsidR="007D3DAD" w:rsidRPr="007D3DAD">
        <w:rPr>
          <w:sz w:val="22"/>
        </w:rPr>
        <w:t>mp_sheva@yahoo.com</w:t>
      </w:r>
      <w:r w:rsidRPr="00917C15">
        <w:rPr>
          <w:sz w:val="22"/>
        </w:rPr>
        <w:t>.</w:t>
      </w:r>
    </w:p>
    <w:p w14:paraId="2A2BA177" w14:textId="2497FEF3" w:rsidR="00730BB9" w:rsidRPr="00917C15" w:rsidRDefault="00730BB9" w:rsidP="00917C15">
      <w:pPr>
        <w:spacing w:after="0" w:line="240" w:lineRule="auto"/>
        <w:ind w:left="0" w:hanging="2"/>
        <w:jc w:val="center"/>
      </w:pPr>
    </w:p>
    <w:p w14:paraId="66DE1271" w14:textId="0CEFE119" w:rsidR="00730BB9" w:rsidRPr="00917C15" w:rsidRDefault="00000000" w:rsidP="00917C15">
      <w:pPr>
        <w:spacing w:after="0" w:line="240" w:lineRule="auto"/>
        <w:ind w:left="0" w:hanging="2"/>
        <w:rPr>
          <w:sz w:val="22"/>
        </w:rPr>
      </w:pPr>
      <w:bookmarkStart w:id="1" w:name="_heading=h.30j0zll" w:colFirst="0" w:colLast="0"/>
      <w:bookmarkEnd w:id="1"/>
      <w:r w:rsidRPr="00917C15">
        <w:rPr>
          <w:sz w:val="22"/>
        </w:rPr>
        <w:t xml:space="preserve">Corresponding Author: </w:t>
      </w:r>
      <w:r w:rsidR="00111177" w:rsidRPr="00111177">
        <w:rPr>
          <w:sz w:val="22"/>
        </w:rPr>
        <w:t>ribka.andjia98@gmail.com</w:t>
      </w:r>
      <w:r w:rsidRPr="00917C15">
        <w:rPr>
          <w:sz w:val="22"/>
          <w:vertAlign w:val="superscript"/>
        </w:rPr>
        <w:t>1</w:t>
      </w:r>
    </w:p>
    <w:p w14:paraId="70766C70" w14:textId="033FF6A8" w:rsidR="00730BB9" w:rsidRPr="00917C15" w:rsidRDefault="00730BB9" w:rsidP="00917C15">
      <w:pPr>
        <w:spacing w:after="0" w:line="240" w:lineRule="auto"/>
        <w:ind w:left="0" w:hanging="2"/>
        <w:jc w:val="center"/>
      </w:pPr>
    </w:p>
    <w:p w14:paraId="0A2AFA67" w14:textId="1230E353" w:rsidR="00730BB9" w:rsidRPr="00917C15" w:rsidRDefault="00000000" w:rsidP="00917C15">
      <w:pPr>
        <w:spacing w:after="0" w:line="240" w:lineRule="auto"/>
        <w:ind w:left="0" w:hanging="2"/>
      </w:pPr>
      <w:r w:rsidRPr="00917C15">
        <w:rPr>
          <w:b/>
          <w:i/>
        </w:rPr>
        <w:t>Abstract:</w:t>
      </w:r>
      <w:r w:rsidRPr="00917C15">
        <w:rPr>
          <w:rFonts w:eastAsia="Calibri"/>
          <w:i/>
        </w:rPr>
        <w:t xml:space="preserve"> </w:t>
      </w:r>
      <w:r w:rsidR="00111177" w:rsidRPr="00111177">
        <w:rPr>
          <w:i/>
        </w:rPr>
        <w:t>Miradelmar Ribka Andjia, Faculty of Law, Mulawarman University 2024, Liability Scheme for Nuclear Accident Incidents in the Perspective of International Environmental Law (Post Chernobyl Nuclear Reactor Explosion Study), under the guidance of Dr. Mahendra Putra Kurnia S.H., M.H as the main supervisor and Dr. Insan Tajalinur, S.H., M.H as second supervisor. This study discusses the form and scheme of liability for losses due to disasters caused by accidents in the large-scale nuclear industry by referring to the Chernobyl nuclear power plant explosion incident. To answer this problem, the approach method that the author uses is normative juridical reviewing and analyzing the impacts and losses as well as efforts -what efforts can be taken to strengthen the law related to the nuclear industry from an international legal perspective. The legal problems that are the object of study are analyzed based on sources in the form of applicable regulations, legal principles, legal theories and doctrine. Even though this paper uses a doctrinal approach, it is also supported by empirical data as part of presenting facts in the field in line with finding answers to the problem formulation. The results of this study conclude that the responsibility scheme in this case has been formed and revised in such a way by referring to causes and effects and special factors in the application of international law to the use of nuclear energy in ensuring environmental sustainability. However, obstacles are still encountered in its implementation, such as the lack of uniformity among all countries in complying with or ratifying existing international regulations. It should be noted that the nuclear issue is part of the Universal Principal, where all countries have the same authority and responsibility so that all countries must follow</w:t>
      </w:r>
      <w:r w:rsidR="00111177">
        <w:rPr>
          <w:i/>
        </w:rPr>
        <w:t>.</w:t>
      </w:r>
    </w:p>
    <w:p w14:paraId="2DD502AF" w14:textId="0C27A07C" w:rsidR="00730BB9" w:rsidRPr="00917C15" w:rsidRDefault="00730BB9" w:rsidP="00917C15">
      <w:pPr>
        <w:spacing w:after="0" w:line="240" w:lineRule="auto"/>
        <w:ind w:left="0" w:hanging="2"/>
        <w:jc w:val="center"/>
      </w:pPr>
    </w:p>
    <w:p w14:paraId="5FD4AF11" w14:textId="2CA7702F" w:rsidR="00730BB9" w:rsidRPr="00917C15" w:rsidRDefault="00000000" w:rsidP="00917C15">
      <w:pPr>
        <w:spacing w:after="0" w:line="240" w:lineRule="auto"/>
        <w:ind w:left="0" w:hanging="2"/>
      </w:pPr>
      <w:r w:rsidRPr="00917C15">
        <w:rPr>
          <w:b/>
          <w:i/>
        </w:rPr>
        <w:t xml:space="preserve">Keyword: </w:t>
      </w:r>
      <w:r w:rsidR="00111177" w:rsidRPr="00111177">
        <w:rPr>
          <w:i/>
        </w:rPr>
        <w:t>Legal Responsibility, International Law, Nuclear Damage</w:t>
      </w:r>
      <w:r w:rsidRPr="00917C15">
        <w:rPr>
          <w:i/>
        </w:rPr>
        <w:t>.</w:t>
      </w:r>
    </w:p>
    <w:p w14:paraId="7D4D018E" w14:textId="170EC2FC" w:rsidR="00730BB9" w:rsidRPr="00917C15" w:rsidRDefault="00000000" w:rsidP="00917C15">
      <w:pPr>
        <w:pBdr>
          <w:top w:val="single" w:sz="4" w:space="1" w:color="auto"/>
        </w:pBdr>
        <w:spacing w:after="0" w:line="240" w:lineRule="auto"/>
        <w:ind w:left="0" w:hanging="2"/>
        <w:jc w:val="center"/>
      </w:pPr>
      <w:r w:rsidRPr="00917C15">
        <w:rPr>
          <w:noProof/>
        </w:rPr>
        <mc:AlternateContent>
          <mc:Choice Requires="wps">
            <w:drawing>
              <wp:anchor distT="4294967295" distB="4294967295" distL="114300" distR="114300" simplePos="0" relativeHeight="251658240" behindDoc="0" locked="0" layoutInCell="1" hidden="0" allowOverlap="1" wp14:anchorId="4123A9D2" wp14:editId="1036C538">
                <wp:simplePos x="0" y="0"/>
                <wp:positionH relativeFrom="column">
                  <wp:posOffset>1</wp:posOffset>
                </wp:positionH>
                <wp:positionV relativeFrom="paragraph">
                  <wp:posOffset>17796</wp:posOffset>
                </wp:positionV>
                <wp:extent cx="0" cy="1270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103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14:paraId="0E419163" w14:textId="659E0A07" w:rsidR="00730BB9" w:rsidRPr="00917C15" w:rsidRDefault="00000000" w:rsidP="00917C15">
      <w:pPr>
        <w:spacing w:after="0" w:line="240" w:lineRule="auto"/>
        <w:ind w:left="0" w:hanging="2"/>
      </w:pPr>
      <w:r w:rsidRPr="00917C15">
        <w:rPr>
          <w:b/>
        </w:rPr>
        <w:t>Abstrak:</w:t>
      </w:r>
      <w:r w:rsidRPr="00917C15">
        <w:rPr>
          <w:rFonts w:eastAsia="Calibri"/>
        </w:rPr>
        <w:t xml:space="preserve"> </w:t>
      </w:r>
      <w:r w:rsidR="00111177" w:rsidRPr="00111177">
        <w:t xml:space="preserve">Miradelmar Ribka Andjia, Fakultas Hukum Universitas Mulawarman 2024, Skema Pertanggungjawaban Pada Insiden Kecelakaan Nuklir Dalam Perspektif Hukum Lingkungan Internasional (Studi Pasca Ledakan Reaktor Nuklir Chernobyl), di bawah bimbingan Bapak Dr.Mahendra Putra Kurnia S.H.,M.H sebagai pembimbing utama dan Dr. Insan Tajalinur, S.H., M.H sebagai pembimbing kedua. Penulisan ini membahas tentang bentuk dan skema pertanggungjawaban atas kerugian atas bencana yang diakibatkan oleh kecelakaan pada industri nuklir skala besar dengan menacu pada insiden ledakan PLTN Chernobyl, Untuk </w:t>
      </w:r>
      <w:r w:rsidR="00111177" w:rsidRPr="00111177">
        <w:lastRenderedPageBreak/>
        <w:t>menjawab permasalahan tersebut, metode pendekatan yang penulis gunakan adalah yuridis normatif mengkaji dan menganalisa dampak dan kerugian serta upaya-upaya apa saja yang dapat di tempuh untuk mengukuhkan hukum terkait industri nuklir dalam perspektif hukum internasional. Permasalahan hukum yang menjadi objek kajian dianalisis berdasarkan pada sumber-sumber berupa peraturan-peraturan yang berlaku, prinsip-prinsip hukum, teori-teori hukum dan doktrin. Meskipun dalam tulisan ini menggunakan pendekatan doctrinal, akan tetapi didukung pula dangan data empiris sebagai bagian untuk menghadirkan fakta di lapangan selaras dengan menemukan jawaban dari rumusan masalah. Hasil penelitian ini menemukan bahwa skema pertanggung jawaban dalam perkara ini telah dibentuk serta direvisi sedemikian rupa dengan mengacu pada sebab akibat dan faktor-faktor khusus dalam penerapan hukum internasional terhadap penggunaan energi nuklir dalam menjamin keberlangsungan lingkungan hidup. Namun dalam implementasinya kendala-kenadala masih ditemukan seperti belum tercapainya keseragaman seluruh negara dalam menaati atau merativikansi peraturan internasional yang ada. Perlu diketahui bahwa isu nuklir merupakan bagian dari Universal Principal, dimana semua negara memiliki wewenang dan tanggungjawab yang sama sehingga semua negara harus mengikuti.</w:t>
      </w:r>
    </w:p>
    <w:p w14:paraId="04732C8E" w14:textId="6938AD5F" w:rsidR="00730BB9" w:rsidRPr="00917C15" w:rsidRDefault="00000000" w:rsidP="00917C15">
      <w:pPr>
        <w:spacing w:after="0" w:line="240" w:lineRule="auto"/>
        <w:ind w:left="0" w:hanging="2"/>
      </w:pPr>
      <w:r w:rsidRPr="00917C15">
        <w:rPr>
          <w:b/>
        </w:rPr>
        <w:t xml:space="preserve">Kata Kunci: </w:t>
      </w:r>
      <w:r w:rsidR="00111177" w:rsidRPr="00111177">
        <w:t>Pertanggungjawaban Hukum, Hukum Internasional, Kecelakaan Nuklir</w:t>
      </w:r>
      <w:r w:rsidRPr="00917C15">
        <w:rPr>
          <w:i/>
        </w:rPr>
        <w:t>.</w:t>
      </w:r>
    </w:p>
    <w:p w14:paraId="5180EFCB" w14:textId="0A51130A" w:rsidR="00730BB9" w:rsidRPr="00917C15" w:rsidRDefault="00000000" w:rsidP="00917C15">
      <w:pPr>
        <w:pBdr>
          <w:top w:val="single" w:sz="4" w:space="1" w:color="auto"/>
        </w:pBdr>
        <w:spacing w:after="0" w:line="240" w:lineRule="auto"/>
        <w:ind w:left="0" w:hanging="2"/>
        <w:jc w:val="center"/>
      </w:pPr>
      <w:r w:rsidRPr="00917C15">
        <w:rPr>
          <w:noProof/>
        </w:rPr>
        <mc:AlternateContent>
          <mc:Choice Requires="wps">
            <w:drawing>
              <wp:anchor distT="4294967295" distB="4294967295" distL="114300" distR="114300" simplePos="0" relativeHeight="251659264" behindDoc="0" locked="0" layoutInCell="1" hidden="0" allowOverlap="1" wp14:anchorId="2038A659" wp14:editId="3852763B">
                <wp:simplePos x="0" y="0"/>
                <wp:positionH relativeFrom="column">
                  <wp:posOffset>1</wp:posOffset>
                </wp:positionH>
                <wp:positionV relativeFrom="paragraph">
                  <wp:posOffset>-7604</wp:posOffset>
                </wp:positionV>
                <wp:extent cx="0"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-7604</wp:posOffset>
                </wp:positionV>
                <wp:extent cx="0" cy="12700"/>
                <wp:effectExtent b="0" l="0" r="0" t="0"/>
                <wp:wrapNone/>
                <wp:docPr id="102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5A7C1F07" w14:textId="2DD3717B" w:rsidR="00730BB9" w:rsidRPr="00917C15" w:rsidRDefault="00730BB9" w:rsidP="00917C15">
      <w:pPr>
        <w:spacing w:after="0" w:line="240" w:lineRule="auto"/>
        <w:ind w:left="0" w:hanging="2"/>
        <w:jc w:val="center"/>
      </w:pPr>
    </w:p>
    <w:p w14:paraId="66BF390A" w14:textId="77777777" w:rsidR="00730BB9" w:rsidRPr="00917C15" w:rsidRDefault="00000000" w:rsidP="00917C15">
      <w:pPr>
        <w:pStyle w:val="Heading1"/>
        <w:numPr>
          <w:ilvl w:val="0"/>
          <w:numId w:val="0"/>
        </w:numPr>
        <w:spacing w:before="0" w:after="0" w:line="240" w:lineRule="auto"/>
        <w:rPr>
          <w:color w:val="003399"/>
          <w:sz w:val="24"/>
          <w:szCs w:val="24"/>
        </w:rPr>
      </w:pPr>
      <w:r w:rsidRPr="00917C15">
        <w:rPr>
          <w:color w:val="000099"/>
          <w:sz w:val="24"/>
          <w:szCs w:val="24"/>
        </w:rPr>
        <w:t>PENDAHULUAN</w:t>
      </w:r>
    </w:p>
    <w:p w14:paraId="3008CD6B" w14:textId="067AFDA9" w:rsidR="00111177" w:rsidRDefault="00111177" w:rsidP="00111177">
      <w:pPr>
        <w:spacing w:after="0" w:line="240" w:lineRule="auto"/>
        <w:ind w:leftChars="0" w:firstLineChars="0" w:firstLine="567"/>
      </w:pPr>
      <w:r>
        <w:t>Krisis terhadap pelindungan lingkungan hidup saat ini seharusnya semakin disadari oleh umat manusia mengingat  bumi yang kita tempati semakin hari semakin mengalami perubahan yang signifikan ke arah yang negatif, pemanasan global, efek rumah kaca, pembabatan area hutan untuk pembangunan merupakan sebagian dari faktor-faktor yang mendorong bumi berada dalam kondisi lingkungan yang semakin suram. Salah satu isu kerusakan alam yang tidak kalah penting untuk  diperhatikan ialah kecelakaan nuklir berupa energi yang dihasilkan dari reaksi antar partikel di dalam inti atom. Sumber energi nuklir yaitu energi ikat pada partikel bebas, Energi nuklir dihasilkan dari sumber energi yang rendah karbon. Pemanfaatan energi nuklir telah diusahakan oleh para ilmuwan sejak awal abad ke-19 Masehi melalui penggunaan reaktor nuklir.</w:t>
      </w:r>
    </w:p>
    <w:p w14:paraId="5CBD55DD" w14:textId="77777777" w:rsidR="00111177" w:rsidRDefault="00111177" w:rsidP="00111177">
      <w:pPr>
        <w:spacing w:after="0" w:line="240" w:lineRule="auto"/>
        <w:ind w:leftChars="0" w:firstLineChars="0" w:firstLine="567"/>
      </w:pPr>
      <w:r>
        <w:t>Energi nuklir sejatinya memiliki berbagai manfaat dalam berbagai bidang, Penggunaan teknologi nuklir mencakup berbagai aspek dalam bidang energi, kesehatan (dalam bidang radioterapi dan pencitraan medis), penelitian ilmiah, dan bidang lainnya. Namun, meski memiliki manfaatnya, energi nuklir juga menyimpan risiko dan tantangan. Keamanan reaktor, pengelolaan limbah nuklir, dan potensi bencana nuklir adalah beberapa isu yang perlu diperhatikan secara serius untuk memastikan penggunaan energi nuklir yang aman dan bertanggung jawab.</w:t>
      </w:r>
    </w:p>
    <w:p w14:paraId="6693F0E0" w14:textId="77777777" w:rsidR="00111177" w:rsidRDefault="00111177" w:rsidP="00111177">
      <w:pPr>
        <w:spacing w:after="0" w:line="240" w:lineRule="auto"/>
        <w:ind w:leftChars="0" w:firstLineChars="0" w:firstLine="567"/>
      </w:pPr>
      <w:r>
        <w:t>Selain di Chernobyl rentetan kasus kecelakan yang melibatkan energi Nuklir juga terjadi di berbagai tempat di belahan dunia seperti Tragedi Surry, Virginia, AS tahun 1989 dan tragegi Fukushima Jepang yang terjadi pada tahun 2011. Kecelakaan kerja bukanlah hal yang baru dalam industri kerja yang berkaitan dengan dunia engineering, namun demikian apabila insiden kecelakaan yang terjadi seperti tragedy Chernobyl tersebut di atas bukanlah kecelakaan yang dapat dianggap biasa mengingat pengaruhnya terhadap lingkungan yang begitu besar dan berkepanjangan.</w:t>
      </w:r>
    </w:p>
    <w:p w14:paraId="548CA94D" w14:textId="77777777" w:rsidR="00111177" w:rsidRDefault="00111177" w:rsidP="00111177">
      <w:pPr>
        <w:spacing w:after="0" w:line="240" w:lineRule="auto"/>
        <w:ind w:leftChars="0" w:firstLineChars="0" w:firstLine="567"/>
      </w:pPr>
      <w:r>
        <w:t xml:space="preserve">Hukum internasional memainkan peranan yang sangat penting dalam kehidupan masyarakat internasional. Melalui hukum internasional negara-negara merumuskan prinsip-prinsip hubungan dan kerjasama diberbagai bidang kegiatan internasional untuk mencapai tujuan bersama. Melalui ketentuan-ketentuan hukum internasional, negara-negara dituntut untuk tunduk terhadap setiap peraturan-peraturan hukum internasional guna mencegah terjadinya sengketa yang mungkin terjadi dan menyelesaikan sengketa yang terjadi. </w:t>
      </w:r>
    </w:p>
    <w:p w14:paraId="3347C657" w14:textId="77777777" w:rsidR="00111177" w:rsidRDefault="00111177" w:rsidP="00111177">
      <w:pPr>
        <w:spacing w:after="0" w:line="240" w:lineRule="auto"/>
        <w:ind w:leftChars="0" w:firstLineChars="0" w:firstLine="567"/>
      </w:pPr>
      <w:r>
        <w:lastRenderedPageBreak/>
        <w:t xml:space="preserve">Mengenai masalah isu keamanan internasional merupakan hal yang paling diperhatikan oleh negaranegara di dunia. Berbagai usaha dan cara dilakukan oleh masyarakat internasional guna mencapai kehidupan yang aman dan harmonis, diantaranya dengan adanya berbagai macam perjanjian internasional untuk berbagai permasalahan yang mungkin timbul. Hal yang diperhatikan oleh dunia internasional dalam isu keamanan internasional salah satu diantaranya adalah mengenai tenaga nuklir. </w:t>
      </w:r>
    </w:p>
    <w:p w14:paraId="7513D7F7" w14:textId="421050F9" w:rsidR="00730BB9" w:rsidRPr="00917C15" w:rsidRDefault="00111177" w:rsidP="00111177">
      <w:pPr>
        <w:spacing w:after="0" w:line="240" w:lineRule="auto"/>
        <w:ind w:leftChars="0" w:left="0" w:firstLineChars="0" w:firstLine="567"/>
      </w:pPr>
      <w:r>
        <w:t>Sebagai respon terhadap bencana-bencana tersebut Dunia Internasional telah melahirkan berbagai macam produk hukum seperti perjanjian internasional dalam upaya perlindungan lingkungan hidup pasca terjadinya tragedi. Namun seperti yang  diketahui bahwa resiko kecelakan tidak selalu dapat dihindari maka muncul pertanyaan apakah produk-produk hukum yang berlaku telah secara maksimal mengatasi akibat-akibat dari insiden tersebut, serta apakah  unsur-unsur yg dapat menjadi “pemaksa” bagi pihak-pihak yang seharusnya bertanggungjawab dalam terjadinya insiden telah tepat dan berfungsi dengan baik, menggingat besar pengaruh bencana-bencana nuklir tersebut bagi manusia dan lingkungan hidup, serta lamanya pemulihan wilayah yang terdampak pengaruh tragedi</w:t>
      </w:r>
      <w:r w:rsidRPr="00917C15">
        <w:t>.</w:t>
      </w:r>
    </w:p>
    <w:p w14:paraId="155114E5" w14:textId="731531F1" w:rsidR="00730BB9" w:rsidRPr="00917C15" w:rsidRDefault="00730BB9" w:rsidP="00917C15">
      <w:pPr>
        <w:spacing w:after="0" w:line="240" w:lineRule="auto"/>
        <w:ind w:left="0" w:hanging="2"/>
        <w:jc w:val="center"/>
      </w:pPr>
    </w:p>
    <w:p w14:paraId="629B59E6" w14:textId="77777777" w:rsidR="00730BB9" w:rsidRPr="00917C15" w:rsidRDefault="00000000" w:rsidP="00917C15">
      <w:pPr>
        <w:pStyle w:val="Heading1"/>
        <w:numPr>
          <w:ilvl w:val="0"/>
          <w:numId w:val="0"/>
        </w:numPr>
        <w:spacing w:before="0" w:after="0" w:line="240" w:lineRule="auto"/>
        <w:rPr>
          <w:sz w:val="24"/>
          <w:szCs w:val="24"/>
        </w:rPr>
      </w:pPr>
      <w:r w:rsidRPr="00917C15">
        <w:rPr>
          <w:color w:val="000099"/>
          <w:sz w:val="24"/>
          <w:szCs w:val="24"/>
        </w:rPr>
        <w:t>METODE</w:t>
      </w:r>
    </w:p>
    <w:p w14:paraId="2C39E94C" w14:textId="7C8619C3" w:rsidR="00111177" w:rsidRPr="00111177" w:rsidRDefault="00111177" w:rsidP="00111177">
      <w:pPr>
        <w:spacing w:after="0" w:line="240" w:lineRule="auto"/>
        <w:ind w:leftChars="0" w:left="0" w:firstLineChars="0" w:firstLine="0"/>
        <w:rPr>
          <w:b/>
          <w:bCs/>
        </w:rPr>
      </w:pPr>
      <w:r w:rsidRPr="00111177">
        <w:rPr>
          <w:b/>
          <w:bCs/>
        </w:rPr>
        <w:t>Pendekatan penelitian</w:t>
      </w:r>
    </w:p>
    <w:p w14:paraId="7CD4BC0B" w14:textId="44B7E033" w:rsidR="00730BB9" w:rsidRPr="00917C15" w:rsidRDefault="00111177" w:rsidP="00111177">
      <w:pPr>
        <w:spacing w:after="0" w:line="240" w:lineRule="auto"/>
        <w:ind w:leftChars="0" w:left="0" w:firstLineChars="0" w:firstLine="567"/>
      </w:pPr>
      <w:r>
        <w:t>Dalam pelaksanaan penelitian ini, penulis akan melakukan pendekatan doctrinal. Pendekatan doctrinal yang dimaksud adalah penelitian yang berbasis ketentuan undang-undang (Black Letter law) serta sesuai dengan perspektif hukum Internasional, penguatan prinsip sesuai dengan  Polluter Pays Principle, serta disesuaikan juga pada Perjainjian internasional yang menaungi insiden kecelakaan nuklir Convention on Nuclear Safety 1994, serta perjanjian-perjanjian Internasianal lain yang relevan termasuk regulasi-regulasi mengenai perlindungan Lingkungan hidup yang disepakati secara internasional. Penulis akan mengkontruksikan dan menggabungkan antara Black Letter law dan teori-teori hukum yang relevan termasuk asas-asas hukum, prinsip, dan doktrin yang dipakai dalam menemukan dan menentukan skema pertanggungajawaban serta unsur-unsur yang membedakan metode pertanggungjawaban atas kedua kasus tersebut.</w:t>
      </w:r>
    </w:p>
    <w:p w14:paraId="083EFCFE" w14:textId="346DEE55" w:rsidR="00730BB9" w:rsidRPr="00917C15" w:rsidRDefault="00730BB9" w:rsidP="00917C15">
      <w:pPr>
        <w:spacing w:after="0" w:line="240" w:lineRule="auto"/>
        <w:ind w:left="0" w:hanging="2"/>
        <w:jc w:val="center"/>
      </w:pPr>
    </w:p>
    <w:p w14:paraId="737C4DA6" w14:textId="77777777" w:rsidR="00730BB9" w:rsidRPr="00917C15" w:rsidRDefault="00000000" w:rsidP="00917C15">
      <w:pPr>
        <w:pStyle w:val="Heading1"/>
        <w:numPr>
          <w:ilvl w:val="0"/>
          <w:numId w:val="0"/>
        </w:numPr>
        <w:spacing w:before="0" w:after="0" w:line="240" w:lineRule="auto"/>
        <w:rPr>
          <w:color w:val="000099"/>
          <w:sz w:val="24"/>
          <w:szCs w:val="24"/>
        </w:rPr>
      </w:pPr>
      <w:r w:rsidRPr="00917C15">
        <w:rPr>
          <w:color w:val="000099"/>
          <w:sz w:val="24"/>
          <w:szCs w:val="24"/>
        </w:rPr>
        <w:t>HASIL DAN PEMBAHASAN</w:t>
      </w:r>
    </w:p>
    <w:p w14:paraId="307935E6" w14:textId="7F863299" w:rsidR="00111177" w:rsidRDefault="00111177" w:rsidP="00E1632D">
      <w:pPr>
        <w:spacing w:after="0" w:line="240" w:lineRule="auto"/>
        <w:ind w:leftChars="0" w:left="0" w:firstLineChars="0" w:firstLine="0"/>
      </w:pPr>
      <w:r>
        <w:t>Perkembangan Peraturan Hukum Internasional Pasca Ledakan Nulklir Chernobyl</w:t>
      </w:r>
    </w:p>
    <w:p w14:paraId="4A7CF07F" w14:textId="77777777" w:rsidR="00E1632D" w:rsidRDefault="00E1632D" w:rsidP="00E1632D">
      <w:pPr>
        <w:spacing w:after="0" w:line="240" w:lineRule="auto"/>
        <w:ind w:leftChars="0" w:left="0" w:firstLineChars="0" w:firstLine="0"/>
      </w:pPr>
    </w:p>
    <w:p w14:paraId="35157F37" w14:textId="77777777" w:rsidR="00111177" w:rsidRPr="00E1632D" w:rsidRDefault="00111177" w:rsidP="00E1632D">
      <w:pPr>
        <w:spacing w:after="0" w:line="240" w:lineRule="auto"/>
        <w:ind w:leftChars="0" w:left="0" w:firstLineChars="0" w:firstLine="0"/>
        <w:rPr>
          <w:b/>
          <w:bCs/>
        </w:rPr>
      </w:pPr>
      <w:r w:rsidRPr="00E1632D">
        <w:rPr>
          <w:b/>
          <w:bCs/>
        </w:rPr>
        <w:t>Tragedi Chernobyl</w:t>
      </w:r>
    </w:p>
    <w:p w14:paraId="14BE1F79" w14:textId="77777777" w:rsidR="00111177" w:rsidRDefault="00111177" w:rsidP="00111177">
      <w:pPr>
        <w:spacing w:after="0" w:line="240" w:lineRule="auto"/>
        <w:ind w:leftChars="0" w:firstLineChars="0" w:firstLine="567"/>
      </w:pPr>
      <w:r>
        <w:t xml:space="preserve">Chernobyl adalah sebuah kota tak berpenghuni di Ukraina utara, tepatnya di Oblast Kiev dekat dengan perbatasan Belarus. Chornobyl berlokasi sekitar 90 kilometer (56 mil) sebelah timur laut Kiev, dan sekitar 140 kilometer (87 mil) barat daya kota Gomel di Belarus.  Pada tanggal 26 april 1986 terjadilah sebuah insiden ledakan nuklir yang terjadi di Pembangkit Listrik Tenaga Nuklir di wilayah tersebut yang bernama Vladimir Lenin Nuclear Power Plant  atau lebih di kenal dengan PLTN Chenobyl. Ukraina yang pada saat itu masih menjadi bagian dari Rusia, Ledakan tersebut menghancurkan pengungkung dan struktur inti reaktor dan menimbulkan kebakaran selama 10 hari dan menyebabkan terjadinya pelepasan sejumlah besar materi radioaktif ke lingkungan. Awan yang berasal dari reaktor yang terbakar tersebut menyebarkan berbagai jenis radionuklida  (radio aktif). Jumlah korban tewas resmi yang diumumkan berjumlah 31 orang (akibat ledakan) namun tidak dapat di patikan jumlah korban jiwa sebenarnya akibat bencana ini, karena adanya efek kesehatan jangka panjang dari polusi radioaktif yang disebabkan oleh kecelakaan nuklir. </w:t>
      </w:r>
    </w:p>
    <w:p w14:paraId="5CCA2B2A" w14:textId="77777777" w:rsidR="00111177" w:rsidRDefault="00111177" w:rsidP="00111177">
      <w:pPr>
        <w:spacing w:after="0" w:line="240" w:lineRule="auto"/>
        <w:ind w:leftChars="0" w:firstLineChars="0" w:firstLine="567"/>
      </w:pPr>
      <w:r>
        <w:t xml:space="preserve">Pada saat itu Lebih dari 5 juta orang yang bertempat tinggal di beberapa daerah di Negara Belarus, Rusia dan Ukraina dengan tingkat paparan radioaktif yang tinggi, sebagian besar dari mereka di evakuasi keaderah yang lebih aman dan sisanya di aevakuasi secara bertahap di tahun-tahun selanjutnya. Jumlah korban diperkirakan bisa mencapai 830.000 orang, tetapi </w:t>
      </w:r>
      <w:r>
        <w:lastRenderedPageBreak/>
        <w:t xml:space="preserve">hanya 600.000 yang diberikan status resmi dan diberikan benefit perawatan kesehatan. Namun, seiring berjalannya waktu, tingkat kecacatan kematian para likuidator itu terus melonjak selama bertahun-tahun. </w:t>
      </w:r>
    </w:p>
    <w:p w14:paraId="1A788456" w14:textId="77777777" w:rsidR="00E1632D" w:rsidRDefault="00E1632D" w:rsidP="00111177">
      <w:pPr>
        <w:spacing w:after="0" w:line="240" w:lineRule="auto"/>
        <w:ind w:leftChars="0" w:firstLineChars="0" w:firstLine="567"/>
      </w:pPr>
    </w:p>
    <w:p w14:paraId="52E6CBAA" w14:textId="77777777" w:rsidR="00111177" w:rsidRPr="00E1632D" w:rsidRDefault="00111177" w:rsidP="00E1632D">
      <w:pPr>
        <w:spacing w:after="0" w:line="240" w:lineRule="auto"/>
        <w:ind w:leftChars="0" w:left="0" w:firstLineChars="0" w:firstLine="0"/>
        <w:rPr>
          <w:b/>
          <w:bCs/>
        </w:rPr>
      </w:pPr>
      <w:r w:rsidRPr="00E1632D">
        <w:rPr>
          <w:b/>
          <w:bCs/>
        </w:rPr>
        <w:t>Dampak Bencana Chernobyl Terhadap Manusia Dan Lingkungan Hidup</w:t>
      </w:r>
    </w:p>
    <w:p w14:paraId="7B2017B0" w14:textId="77777777" w:rsidR="00111177" w:rsidRDefault="00111177" w:rsidP="00111177">
      <w:pPr>
        <w:spacing w:after="0" w:line="240" w:lineRule="auto"/>
        <w:ind w:leftChars="0" w:firstLineChars="0" w:firstLine="567"/>
      </w:pPr>
      <w:r>
        <w:t>Jumlah kematian akibat kecelakaan Chernobyl telah menjadi perhatian masyarakat umum, peneliti, media masa, hingga politikus. UNSCEAR (2000) telah mendokumentasikan jumlah kematian akibat sindroma radiasi akut (SRA) selama tahun pertama setelah kecelakaan, kasus SRA terjadi pada 134 petugas kedaruratan yang terlibat dalam penanganan awal ledakan chernobyl dan sekitar 28 dari pertugas tersebut meninggal pada tahun 1986 akibat SRA yang parah, dan puluhan di antaranya meninggal pada jangka waktu yang bedekatan yang secara tidak langsung diakibatkan oleh efek radio aktif ledakan Chernobyl. Selain SRA yang sudah jelas dikatakan merupakan akibat dari insiden Chernobyl ada pula beberapa konsekuensi terhadap manusia dan lingkungan, antra lain:</w:t>
      </w:r>
    </w:p>
    <w:p w14:paraId="1939C076" w14:textId="77777777" w:rsidR="00111177" w:rsidRDefault="00111177" w:rsidP="00111177">
      <w:pPr>
        <w:spacing w:after="0" w:line="240" w:lineRule="auto"/>
        <w:ind w:leftChars="0" w:firstLineChars="0" w:firstLine="567"/>
      </w:pPr>
      <w:r>
        <w:t>1.</w:t>
      </w:r>
      <w:r>
        <w:tab/>
        <w:t>Konsekuensi terhadap kesehatan, dan reproduksi.</w:t>
      </w:r>
    </w:p>
    <w:p w14:paraId="57993CB7" w14:textId="77777777" w:rsidR="00111177" w:rsidRDefault="00111177" w:rsidP="00111177">
      <w:pPr>
        <w:spacing w:after="0" w:line="240" w:lineRule="auto"/>
        <w:ind w:leftChars="0" w:firstLineChars="0" w:firstLine="567"/>
      </w:pPr>
      <w:r>
        <w:t>2.</w:t>
      </w:r>
      <w:r>
        <w:tab/>
        <w:t>Konsekuensi Terhadap Lingkungan</w:t>
      </w:r>
    </w:p>
    <w:p w14:paraId="1EAB9204" w14:textId="77777777" w:rsidR="00E1632D" w:rsidRDefault="00E1632D" w:rsidP="00111177">
      <w:pPr>
        <w:spacing w:after="0" w:line="240" w:lineRule="auto"/>
        <w:ind w:leftChars="0" w:firstLineChars="0" w:firstLine="567"/>
      </w:pPr>
    </w:p>
    <w:p w14:paraId="2CBB2E1F" w14:textId="77777777" w:rsidR="00111177" w:rsidRPr="00E1632D" w:rsidRDefault="00111177" w:rsidP="00E1632D">
      <w:pPr>
        <w:spacing w:after="0" w:line="240" w:lineRule="auto"/>
        <w:ind w:leftChars="0" w:left="0" w:firstLineChars="0" w:firstLine="0"/>
        <w:rPr>
          <w:b/>
          <w:bCs/>
        </w:rPr>
      </w:pPr>
      <w:r w:rsidRPr="00E1632D">
        <w:rPr>
          <w:b/>
          <w:bCs/>
        </w:rPr>
        <w:t>Perkembangan  Hukum Internasional Pasca Ledakan Chaernobyl</w:t>
      </w:r>
    </w:p>
    <w:p w14:paraId="23E5157C" w14:textId="77777777" w:rsidR="00111177" w:rsidRDefault="00111177" w:rsidP="00111177">
      <w:pPr>
        <w:spacing w:after="0" w:line="240" w:lineRule="auto"/>
        <w:ind w:leftChars="0" w:firstLineChars="0" w:firstLine="567"/>
      </w:pPr>
      <w:r>
        <w:t xml:space="preserve">Jauh sebelum tragedi ledakan pembangkit listrik di Chernobyl, hukum internasional telah memiliki peraturannya sendiri terkait dengan pemanfaatan energi nuklir, salah satu diantaranya yakni dengan mendirikan International Atomic Energy Agency (IAEA) yaitu suatu Badan Tenaga Atom Internasional sebagai sebuah organisasi independen yang di bentuk oleh Perserikatan Bangsa-Bangsa (PBB) pada tanggal 29 Juli 1957 dengan tujuan mempromosikan penggunaan energi nuklir secara damai serta menangkal penggunaannya untuk keperluan militer. Markas IAEA terletak di Wina, Austria, dan beranggotakan 137 negara. Selain pengawasan yang dilakukan oleh IAEA, maka disetiap negara yang ikut serta dalam berbagai macam perjanjian internasional yang diadakan oleh IAEA, juga mempunyai badan pengawasan mereka masing-masing disetiap negara guna mengawasi penggunaan tenaga nuklir tersebut di masing-masing negara. </w:t>
      </w:r>
    </w:p>
    <w:p w14:paraId="2675EEB2" w14:textId="1EA0971E" w:rsidR="00111177" w:rsidRDefault="00111177" w:rsidP="00E1632D">
      <w:pPr>
        <w:spacing w:after="0" w:line="240" w:lineRule="auto"/>
        <w:ind w:leftChars="0" w:firstLineChars="0" w:firstLine="0"/>
        <w:rPr>
          <w:b/>
          <w:bCs/>
        </w:rPr>
      </w:pPr>
      <w:r w:rsidRPr="00E1632D">
        <w:rPr>
          <w:b/>
          <w:bCs/>
        </w:rPr>
        <w:t>Upaya Organisasi Internasional Dalam Mengharmonisasikan Peratuan Terkait Pemanfaatan Nuklir Dalam Menjamin Keberlanjutan Lingkungan Hidup</w:t>
      </w:r>
    </w:p>
    <w:p w14:paraId="46F83844" w14:textId="77777777" w:rsidR="00E1632D" w:rsidRPr="00E1632D" w:rsidRDefault="00E1632D" w:rsidP="00E1632D">
      <w:pPr>
        <w:spacing w:after="0" w:line="240" w:lineRule="auto"/>
        <w:ind w:leftChars="0" w:firstLineChars="0" w:firstLine="0"/>
        <w:rPr>
          <w:b/>
          <w:bCs/>
        </w:rPr>
      </w:pPr>
    </w:p>
    <w:p w14:paraId="1552E26E" w14:textId="77777777" w:rsidR="00111177" w:rsidRPr="00E1632D" w:rsidRDefault="00111177" w:rsidP="00E1632D">
      <w:pPr>
        <w:spacing w:after="0" w:line="240" w:lineRule="auto"/>
        <w:ind w:leftChars="0" w:left="0" w:firstLineChars="0" w:firstLine="0"/>
        <w:rPr>
          <w:b/>
          <w:bCs/>
        </w:rPr>
      </w:pPr>
      <w:r w:rsidRPr="00E1632D">
        <w:rPr>
          <w:b/>
          <w:bCs/>
        </w:rPr>
        <w:t>Permasalahan Terkait Regulasi Pemanfaatan Nuklir Internasional</w:t>
      </w:r>
    </w:p>
    <w:p w14:paraId="27C55F8B" w14:textId="77777777" w:rsidR="00111177" w:rsidRDefault="00111177" w:rsidP="00111177">
      <w:pPr>
        <w:spacing w:after="0" w:line="240" w:lineRule="auto"/>
        <w:ind w:leftChars="0" w:firstLineChars="0" w:firstLine="567"/>
      </w:pPr>
      <w:r>
        <w:t xml:space="preserve">IAEA membentuk perjanjian internasional yakni Convention on Assistance in the Case of a Nuclear Accident or Radiological Emergency, konvensi ini di tandatangani di Vienna pada 26 september 1986 dan mulai berlaku pada 26 Februari 1987. Konvensi ini diadopsi sebagai tanggapan langsung terhadap bencana Chernobyl pada bulan April 1986. Di dalamnya memuat tentang ketentuan bahwa bahwa negara-negara setuju untuk memberikan pemberitahuan kepada IAEA mengenai bantuan apa pun yang dapat mereka berikan jika terjadi kecelakaan nuklir. yang terjadi di negara lain yang telah meratifikasi perjanjian tersebut. Bersamaan dengan Convention on Early Notification of a Nuclear Accident yang juga di sepakati di Vienna pada tanggal yang sama. </w:t>
      </w:r>
    </w:p>
    <w:p w14:paraId="59EF1935" w14:textId="77777777" w:rsidR="00111177" w:rsidRDefault="00111177" w:rsidP="00111177">
      <w:pPr>
        <w:spacing w:after="0" w:line="240" w:lineRule="auto"/>
        <w:ind w:leftChars="0" w:firstLineChars="0" w:firstLine="567"/>
      </w:pPr>
      <w:r>
        <w:t>Dalam penerapannya selama bertahun-tahun industri nuklir menerima praktik pengalihan seluruh tanggung jawab atas kecelakaan nuklir kepada operator, yang mempunyai tugas untuk memastikan bahwa produk dan layanan yang dipasok bebas dari cacat. Oleh karena itu, tidak ada undang-undang internasional atau domestik yang membebankan tanggung jawab signifikan kepada pemasok. Situasi yang dapat diterima secara internasional di mana hak regres dapat dituntut oleh operator terhadap pemasok adalah ;</w:t>
      </w:r>
    </w:p>
    <w:p w14:paraId="44A6EB8F" w14:textId="77777777" w:rsidR="00111177" w:rsidRDefault="00111177" w:rsidP="00111177">
      <w:pPr>
        <w:spacing w:after="0" w:line="240" w:lineRule="auto"/>
        <w:ind w:leftChars="0" w:left="851" w:firstLineChars="0" w:hanging="285"/>
      </w:pPr>
      <w:r>
        <w:t>1)</w:t>
      </w:r>
      <w:r>
        <w:tab/>
        <w:t xml:space="preserve">jika insiden nuklir timbul dari tindakan kelalaian atau tindakan yang dilakukan oleh pemasok dengan maksud untuk menyebabkan kerusakan ; dan </w:t>
      </w:r>
    </w:p>
    <w:p w14:paraId="52A7969A" w14:textId="77777777" w:rsidR="00111177" w:rsidRDefault="00111177" w:rsidP="00111177">
      <w:pPr>
        <w:spacing w:after="0" w:line="240" w:lineRule="auto"/>
        <w:ind w:leftChars="0" w:left="851" w:firstLineChars="0" w:hanging="285"/>
      </w:pPr>
      <w:r>
        <w:lastRenderedPageBreak/>
        <w:t>2)</w:t>
      </w:r>
      <w:r>
        <w:tab/>
        <w:t xml:space="preserve">hak regres berdasarkan kontrak (misalnya, kontrak pribadi untuk membagi tanggung jawab secara bebas yang dilakukan oleh operator dan pemasok). </w:t>
      </w:r>
    </w:p>
    <w:p w14:paraId="024980FE" w14:textId="77777777" w:rsidR="00111177" w:rsidRDefault="00111177" w:rsidP="00111177">
      <w:pPr>
        <w:spacing w:after="0" w:line="240" w:lineRule="auto"/>
        <w:ind w:leftChars="0" w:firstLineChars="0" w:firstLine="567"/>
      </w:pPr>
      <w:r>
        <w:t>Prinsip ini telah berjalan selama bertahun-tahun dan dikodifikasikan dalam Konvensi Tanggung Jawab Pihak Ketiga di Bidang Energi Nuklir (1960), Konvensi Wina tentang Tanggung Jawab Sipil atas Kerusakan Nuklir (1997, sebagaimana telah diubah), dan Konvensi tentang Tanggung Jawab Sipil atas Kerusakan Nuklir (1997, sebagaimana telah diubah), dan Konvensi tentang Tanggung Jawab Sipil atas Kerusakan Nuklir (1997, sebagaimana telah diubah), dan Konvensi Kompensasi Tambahan untuk Kerusakan Nuklir (1997). Prinsip mengecualikan tanggung jawab pemasok demi menyalurkan seluruh tanggung jawab kepada operator pembangkit listrik tenaga nuklir telah selama bertahun-tahun diterima begitu saja, sebuah prinsip yang tidak terbantahkan dalam yurisprudensi hukum pertanggungjawaban nuklir internasional. Negara-negara yang pengguna energi nuklir hampir selalu mematuhi prinsip ini, dan seiring berjalannya waktu, prinsip ini telah diterapkan dalam undang-undang tanggung jawab nuklir domestik di negara-negara yang berupaya untuk mengumumkan undang-undang tersebut.</w:t>
      </w:r>
    </w:p>
    <w:p w14:paraId="58E64B17" w14:textId="77777777" w:rsidR="00111177" w:rsidRDefault="00111177" w:rsidP="00111177">
      <w:pPr>
        <w:spacing w:after="0" w:line="240" w:lineRule="auto"/>
        <w:ind w:leftChars="0" w:firstLineChars="0" w:firstLine="567"/>
      </w:pPr>
      <w:r>
        <w:t>Efektivitas Konvensi Paris dan Wina sehubungan dengan ketentuan pembayaran kompensasi yang cepat dan memadai di tempat-tempat yang terkena dampak kecelakaan selalu diragukan. Banyak negara produsen energi nuklir besar yang tetap berada di luar kedua konvensi tersebut, dan banyak undang-undang nasional yang berbeda dari ketentuannya, sehingga menghambat upaya harmonisasi. Selain itu, beberapa negara mempunyai persyaratan tanggung jawab yang terbatas, dan negara lain mempunyai rezim tanggung jawab yang tidak terbatas, yang juga mempersulit tujuan pencapaian harmonisasi. Di kawasan ASEAN, Vietnam sedang mempertimbangkan apakah akan menjadi pihak pada Konvensi Wina dan belum menetapkan posisinya mengenai tanggung jawab nuklir. Malaysia (dengan Undang-Undang Perizinan Energi Atom tahun 1984) dan Indonesia (dengan Undang-undang No. 10 tahun 1997) telah memberlakukan undang-undang domestik yang mengikuti prinsip-prinsip tanggung jawab operator eksklusif yang diterima secara internasional dan memberikan batasan pada tanggung jawab. Namun undang-undang ini tidak membahas kemungkinan terjadinya insiden lintas batas, dan ambang batas tanggung jawab relatif rendah dibandingkan dengan negara-negara penghasil energi nuklir lainnya. India, selain memperkenalkan konsep tanggung jawab pemasok, juga telah menetapkan batasan ambang batas tanggung jawab.</w:t>
      </w:r>
    </w:p>
    <w:p w14:paraId="15DBA1C1" w14:textId="77777777" w:rsidR="00111177" w:rsidRDefault="00111177" w:rsidP="00111177">
      <w:pPr>
        <w:spacing w:after="0" w:line="240" w:lineRule="auto"/>
        <w:ind w:leftChars="0" w:firstLineChars="0" w:firstLine="567"/>
      </w:pPr>
      <w:r>
        <w:t>Ledakan di pembangkit listrik tenaga nuklir Chernobyl pada tanggal 26 April 1986 merupakan bencana skala besar dan masih memiliki konsekuensi negatif yang signifikan, khususnya untuk Belarusia, di Federasi Rusia dan di Ukraina. Bencana Jepang di Fukushima Daiichiin pada tahun 2011 juga mencapai skala 7 tingkat klasifikasi maksimum yang sama pada skala internasional INES. tetapi insiden di Chernobyl (sekitar 100 Km dari Kyiv) masih menjadi yang paling serius dalam sejarah karena tingkat kebocoran bahan radioaktif dan efeknya terhadap kesehatan dan lingkungan.</w:t>
      </w:r>
    </w:p>
    <w:p w14:paraId="25D91EEA" w14:textId="77777777" w:rsidR="00111177" w:rsidRDefault="00111177" w:rsidP="00111177">
      <w:pPr>
        <w:spacing w:after="0" w:line="240" w:lineRule="auto"/>
        <w:ind w:leftChars="0" w:firstLineChars="0" w:firstLine="567"/>
      </w:pPr>
      <w:r>
        <w:t>Bertahun-tahun sebelum kecelakaan Chernobyl, Mahkamah Internasional (ICJ) telah menetapkan prinsip-prinsip hukum lingkungan internasional dalam Arbitrase Peleburan Jejak (1939) dan Kasus Saluran Corfu (1949), menemukan bahwa negara memiliki kewajiban untuk mencegah pencemaran lingkungan lintas batas kerugian dan memiliki kewajiban untuk membayar ganti rugi atas kerugian yang ditimbulkan. Terlepas dari kejelasan posisi hukum ini, tidak ada negara yang dapat mengajukan klaim yang sah untuk meminta kompensasi terhadap Uni Soviet untuk Chernobyl terutama karena tiga alasan: (1) yurisdiksi ICJ berdasarkan persetujuan, dan Uni Soviet tidak akan tunduk pada yurisdiksi ICJ, ICJ dalam hal ini; (2) USSR memiliki hak veto di PBB; dan (3) Uni Soviet bukanlah pihak dari Konvensi Paris atau Wina.</w:t>
      </w:r>
    </w:p>
    <w:p w14:paraId="1583BA85" w14:textId="77777777" w:rsidR="00111177" w:rsidRDefault="00111177" w:rsidP="00111177">
      <w:pPr>
        <w:spacing w:after="0" w:line="240" w:lineRule="auto"/>
        <w:ind w:leftChars="0" w:firstLineChars="0" w:firstLine="567"/>
      </w:pPr>
      <w:r>
        <w:t>Konsekuensi dari Chernobyl akhirnya mengungkap kelemahan kerangka tanggung jawab yang masih ada. Kecelakaan nuklir telah mempengaruhi ribuan orang di wilayah geografis yang luas; namun tidak ada upaya hukum yang tersedia bagi individu atau negara lain yang terkena dampak, dan ambang tanggung jawab rendah pada saat itu.</w:t>
      </w:r>
    </w:p>
    <w:p w14:paraId="79974D0A" w14:textId="77777777" w:rsidR="00111177" w:rsidRDefault="00111177" w:rsidP="00111177">
      <w:pPr>
        <w:spacing w:after="0" w:line="240" w:lineRule="auto"/>
        <w:ind w:leftChars="0" w:firstLineChars="0" w:firstLine="567"/>
      </w:pPr>
      <w:r>
        <w:lastRenderedPageBreak/>
        <w:t>Pada tahun 2003, baru dibentuk Chernobyl Forum untuk  menghasilkan “authoritative consensual statement” terhadap konsekuensi lingkungan dan efek kesehatan yang disebabkan paparan radiasi yang timbul dari kecelakaan serta memberikan saran pada rehabilitasi lingkungan dan program perawatan kesehatan khusus dan menyarankan wilayah yang membutuhkan penelitian lebih lanjut. Dengan demikian, hukum internasional memulai proses meninjau kembali undang-undang pertanggungjawaban nuklir yang ada.</w:t>
      </w:r>
    </w:p>
    <w:p w14:paraId="3C7378D6" w14:textId="77777777" w:rsidR="00111177" w:rsidRDefault="00111177" w:rsidP="00111177">
      <w:pPr>
        <w:spacing w:after="0" w:line="240" w:lineRule="auto"/>
        <w:ind w:leftChars="0" w:firstLineChars="0" w:firstLine="567"/>
      </w:pPr>
      <w:r>
        <w:t>Dengan Konvensi Paris dan Wina yang independen satu sama lain, terbuka bagi negara-negara untuk mengadopsi salah satu dari konvensi tersebut. Hal ini menimbulkan masalah koordinasi dan harmonisasi karena, secara umum, tidak ada negara yang dapat menjadi pihak dalam kedua konvensi tersebut, karena detail pastinya tidak konsisten dan dapat menimbulkan potensi konflik dalam penerapannya secara bersamaan.</w:t>
      </w:r>
    </w:p>
    <w:p w14:paraId="34EF7B7D" w14:textId="77777777" w:rsidR="00111177" w:rsidRDefault="00111177" w:rsidP="00111177">
      <w:pPr>
        <w:spacing w:after="0" w:line="240" w:lineRule="auto"/>
        <w:ind w:leftChars="0" w:firstLineChars="0" w:firstLine="567"/>
      </w:pPr>
      <w:r>
        <w:t>Dengan demikian, atas prakarsa IAEA dan OECD, pada tahun 1988 kedua konvensi utama tersebut dihubungkan oleh Protokol Bersama yang berkaitan dengan Penerapan Konvensi Wina dan Konvensi Paris (Protokol Bersama 1988), yang mulai berlaku pada tahun 1992. Para Pihak untuk Protokol Bersama 1988 diperlakukan seolah-olah mereka adalah pihak dari kedua konvensi tersebut. Oleh karena itu, jika suatu peristiwa di negara yang terikat oleh Konvensi Paris menimbulkan kerugian di negara yang terikat oleh Konvensi Wina, maka para korban di negara yang terikat oleh Konvensi Wina tersebut dapat menuntut ganti rugi berdasarkan hukum negara yang terikat oleh Konvensi Paris tersebut.</w:t>
      </w:r>
    </w:p>
    <w:p w14:paraId="62614AC4" w14:textId="77777777" w:rsidR="00111177" w:rsidRDefault="00111177" w:rsidP="00111177">
      <w:pPr>
        <w:spacing w:after="0" w:line="240" w:lineRule="auto"/>
        <w:ind w:leftChars="0" w:firstLineChars="0" w:firstLine="567"/>
      </w:pPr>
      <w:r>
        <w:t>Selanjutnya Konvensi Wina juga mengalami perubahan yang signifikan Pada tahun 1997. delegasi dari lebih dari 80 negara mengadopsi Protokol untuk Mengubah Konvensi Wina 1963 tentang Tanggung Jawab Sipil atas Kerusakan Nuklir (Protokol 1997), yang mulai berlaku pada tahun 2003. Protokol 1997 memperluas cakupan geografis Konvensi Wina, menetapkan kemungkinan batas tanggung jawab operator tidak kurang dari 300 juta hak penarikan khusus, dan memperluas definisi kerusakan nuklir untuk memasukkan kerusakan lingkungan. Sampai saat ini, Konvensi Wina, yang ditujukan untuk kepatuhan universal, hanya menarik empat puluh negara anggota.</w:t>
      </w:r>
    </w:p>
    <w:p w14:paraId="497E31AC" w14:textId="77777777" w:rsidR="00111177" w:rsidRDefault="00111177" w:rsidP="00111177">
      <w:pPr>
        <w:spacing w:after="0" w:line="240" w:lineRule="auto"/>
        <w:ind w:leftChars="0" w:firstLineChars="0" w:firstLine="567"/>
      </w:pPr>
      <w:r>
        <w:t xml:space="preserve">Setelah kecelakaan Chernobyl, Uni Eropa melakukan revisi lengkap Konvensi Tambahan Paris dan Brussel, amandemen ini di sebut dengan Protokol 2004 untuk Mengubah Konvensi Paris tentang Kewajiban Pihak Ketiga di Bidang Energi Nuklir, Perubahan ini adalah bagian yang paling penting dari revisi ini. Protokol 2004 memperluas cakupan geografis kecelakaan, menaikkan jumlah kompensasi yang tersedia bagi para korban, dan memperluas definisi kerusakan nuklir. Batas tanggung jawab baru ditetapkan untuk operator (diasuransikan). </w:t>
      </w:r>
    </w:p>
    <w:p w14:paraId="09445F9D" w14:textId="77777777" w:rsidR="00111177" w:rsidRDefault="00111177" w:rsidP="00111177">
      <w:pPr>
        <w:spacing w:after="0" w:line="240" w:lineRule="auto"/>
        <w:ind w:leftChars="0" w:firstLineChars="0" w:firstLine="567"/>
      </w:pPr>
      <w:r>
        <w:t xml:space="preserve">Amandemen tahun 2004 menghilangkan persyaratan bagi negara untuk membatasi tanggung jawab maksimum operator nuklir, sehingga memungkinkan negara-negara yang lebih memilih kebijakan tanggung jawab tidak terbatas untuk bergabung dengan konvensi. Namun, Protokol 2004 belum berlaku karena mayoritas negara Uni Eropa, termasuk Jerman, Prancis, dan Inggris, belum meratifikasinya, oleh karena itu batasan kewajiban lama yang diberlakukan pada tahun 1960 masih berlaku. </w:t>
      </w:r>
    </w:p>
    <w:p w14:paraId="4E69FC09" w14:textId="77777777" w:rsidR="00111177" w:rsidRDefault="00111177" w:rsidP="00111177">
      <w:pPr>
        <w:spacing w:after="0" w:line="240" w:lineRule="auto"/>
        <w:ind w:leftChars="0" w:firstLineChars="0" w:firstLine="567"/>
      </w:pPr>
    </w:p>
    <w:p w14:paraId="1F14D27E" w14:textId="77777777" w:rsidR="00111177" w:rsidRPr="00111177" w:rsidRDefault="00111177" w:rsidP="00111177">
      <w:pPr>
        <w:spacing w:after="0" w:line="240" w:lineRule="auto"/>
        <w:ind w:leftChars="0" w:left="0" w:firstLineChars="0" w:firstLine="0"/>
        <w:rPr>
          <w:b/>
          <w:bCs/>
        </w:rPr>
      </w:pPr>
      <w:r w:rsidRPr="00111177">
        <w:rPr>
          <w:b/>
          <w:bCs/>
        </w:rPr>
        <w:t>Kecelakaan Nuklir Fukushima</w:t>
      </w:r>
    </w:p>
    <w:p w14:paraId="7CDBF80C" w14:textId="77777777" w:rsidR="00111177" w:rsidRDefault="00111177" w:rsidP="00111177">
      <w:pPr>
        <w:spacing w:after="0" w:line="240" w:lineRule="auto"/>
        <w:ind w:leftChars="0" w:firstLineChars="0" w:firstLine="567"/>
      </w:pPr>
      <w:r>
        <w:t>Bertahun setelah kecelakaan Chernobyl rentetan peristiwa insiden nuklir masih terus terjadi di berbagai wilayah di seluruh dunia (telampir table 2.2) dan salah satu tidak kalah menggemparkakn yakni Ledakan Fukushima Daiichi  adalah suatu insiden energi yang terjadi di Pembangkit Listrik Tenaga Nuklir Fukushima I di Fukushima, Jepang, yang dipicu oleh tsunami akibat gempa bumi di Tōhoku pada tanggal 11 Maret 2011. Setelah gempa, reaktor secara otomatis mematikan reaksi fisi yang berkelanjutan. Namun, tsunami menghancurkan generator darurat yang seharusnya menyediakan daya untuk mengoperasikan pompa yang diperlukan untuk mendinginkan reaktor. Akibatnya, terjadi kegagalan dalam pendinginan yang menyebabkan terjadinya tiga krisis nuklir, yaitu ledakan hidrogen-udara dan pelepasan bahan radioaktif di Unit 1, 2, dan 3 dari tanggal 12 Maret sampai 15 Maret.</w:t>
      </w:r>
    </w:p>
    <w:p w14:paraId="1DC7E11E" w14:textId="77777777" w:rsidR="00111177" w:rsidRDefault="00111177" w:rsidP="00111177">
      <w:pPr>
        <w:spacing w:after="0" w:line="240" w:lineRule="auto"/>
        <w:ind w:leftChars="0" w:firstLineChars="0" w:firstLine="567"/>
      </w:pPr>
      <w:r>
        <w:lastRenderedPageBreak/>
        <w:t xml:space="preserve">Dalam keterkaitannya dengan hukum Internasional pasca Inseden Chernobyl dan deretan pembentukan peraturan-peraturan hukum internasonal untuk menaungi permasalahan semacam ini berbeda dengan kecelakaan Chernobyl, kecelakaan Fukushima Daiichi terjadi pada tahun 2011 saat kedua konvensi    tersebut telah berlaku, hal tersebut membawa dampak yang lebih baik dalam penanganan awal pasca bencana terjadi. Akan tetapi insiden di Fukushima telah menunjukan masih kurangnya kerangka tanggung jawab universal yang dapat diandalkan, hal ini mencerminkan ketidakmampuan internasional untuk mencapai rezim yang harmonis secara universal. Industri besar Jepang seperti pertanian, perikanan, dan pariwisata sangat terkena dampak insiden di Fukushima. Namun, karena kecelakaan tersebut terjadi di sisi timur Jepang, yang berbatasan dengan Samudera Pasifik, dampak lintas batas negara terhadap negara lain tidak terlalu besar. Namun demikian, Komite Ilmiah PBB tentang Dampak Radiasi Atom menyatakan bahwa dampak penuhnya mungkin belum diketahui selama bertahun-tahun, Namun pada tahap ini, permasalahan tanggung jawab dan kompensasi masih terbatas pada yurisdiksi Jepang. Kala itu Jepang belum menyetujui salah satu konvensi internasional mengenai pertanggungjawaban nuklir namun memiliki undang-undang domestiknya sendiri tidak memberikan bantuan kepada orang-orang yang terkena dampak di luar wilayah Jepang. </w:t>
      </w:r>
    </w:p>
    <w:p w14:paraId="18140003" w14:textId="77777777" w:rsidR="00111177" w:rsidRDefault="00111177" w:rsidP="00111177">
      <w:pPr>
        <w:spacing w:after="0" w:line="240" w:lineRule="auto"/>
        <w:ind w:leftChars="0" w:firstLineChars="0" w:firstLine="567"/>
      </w:pPr>
      <w:r>
        <w:t>Seandainya kecelakaan itu terjadi di wilayah barat Jepang, kemungkinan besar akan menimbulkan kerusakan besar di Korea Selatan. Kecelakaan nuklir Fukushima menekankan perlunya melakukan reformasi yang dapat diterima oleh lebih banyak negara. Dengan total kerugian yang diperkirakan mencapai lebih dari 100 miliar USD, kecelakaan Fukushima juga merupakan pengingat akan rendahnya batasan tanggung jawab dalam undang-undang pertanggungjawaban yang masih ada dan kewajiban pemerintah untuk membayar kompensasi, serta potensi dampak yang dapat ditimbulkan oleh insiden tersebut. pada negara-negara tetangga.</w:t>
      </w:r>
    </w:p>
    <w:p w14:paraId="52512AD6" w14:textId="77777777" w:rsidR="00111177" w:rsidRDefault="00111177" w:rsidP="00111177">
      <w:pPr>
        <w:spacing w:after="0" w:line="240" w:lineRule="auto"/>
        <w:ind w:leftChars="0" w:firstLineChars="0" w:firstLine="567"/>
      </w:pPr>
      <w:r>
        <w:t>Selain Arab Saudi, Uni Emirat Arab, Filipina, dan Indonesia, tidak ada negara Asia atau Asia-Pasifik yang mempunyai kepentingan signifikan dalam energi nuklir atau berkomitmen terhadap program energi nuklir yang menjadi pihak dalam konvensi pertanggungjawaban internasional mana pun yang berlaku. Hal ini membahayakan efisiensi pengoperasian pembangkit listrik tenaga nuklir di wilayah ini. Jika terjadi insiden lintas batas negara (seperti Chernobyl), menghindari tanggung jawab tidaklah sulit.</w:t>
      </w:r>
    </w:p>
    <w:p w14:paraId="0EE532FB" w14:textId="77777777" w:rsidR="00111177" w:rsidRDefault="00111177" w:rsidP="00111177">
      <w:pPr>
        <w:spacing w:after="0" w:line="240" w:lineRule="auto"/>
        <w:ind w:leftChars="0" w:firstLineChars="0" w:firstLine="567"/>
      </w:pPr>
      <w:r>
        <w:t xml:space="preserve">Di sisi lain kekhawatiran telah disuarakan di kawasan Asia Selatan mengenai pembangkit listrik tenaga nuklir yang berlokasi dekat dengan perbatasan internasional. Mengingat skala perluasan tenaga nuklir dan rencana baru, permasalahan seperti ini akan semakin meningkat di masa depan. </w:t>
      </w:r>
    </w:p>
    <w:p w14:paraId="09E1757E" w14:textId="77777777" w:rsidR="00111177" w:rsidRDefault="00111177" w:rsidP="00111177">
      <w:pPr>
        <w:spacing w:after="0" w:line="240" w:lineRule="auto"/>
        <w:ind w:leftChars="0" w:firstLineChars="0" w:firstLine="567"/>
      </w:pPr>
      <w:r>
        <w:t>Sri Lanka pada tahun 2012 menyampaikan keprihatinan serius terhadap Pembangkit Listrik Tenaga Nuklir Kudankulam (KNPP) India. Terletak di pantai Tamil Nadu, pabrik ini berjarak 250 kilometer dari negara kepulauan tersebut, yang terus menimbulkan kekhawatiran keselamatan selama proses konstruksi. Lebih jauh lagi, usulan proyek pembangkit listrik tenaga nuklir yang diajukan Bangladesh, yang berjarak 50 kilometer dari perbatasan India, dapat mengakibatkan India meningkatkan kekhawatiran mengenai lokasi proyek ini. Demikian pula, pembangkit listrik tenaga nuklir di masa depan di kawasan ASEAN juga dapat menimbulkan kekhawatiran serius bagi semua negara tetangga di kawasan ini, terlepas dari apakah negara-negara tersebut sedang menjalankan program energi nuklir.</w:t>
      </w:r>
    </w:p>
    <w:p w14:paraId="29651FFE" w14:textId="77777777" w:rsidR="00111177" w:rsidRDefault="00111177" w:rsidP="00111177">
      <w:pPr>
        <w:spacing w:after="0" w:line="240" w:lineRule="auto"/>
        <w:ind w:leftChars="0" w:firstLineChars="0" w:firstLine="567"/>
      </w:pPr>
      <w:r>
        <w:t xml:space="preserve">Sementara banyak yang telah ditulis tentang tingkat kerusakan yang disebabkan oleh Chernobyl, perhatian yang relatif sedikit telah difokuskan, sebagai perbandingan, pada kemampuan individu yang menderita kerusakan untuk mendapatkan kompensasi untuk itu, di mana pun mereka berada atau berada secara geografis. Ini sebenarnya tidak mengherankan, mengingat besarnya konsekuensi kecelakaan, yang akan berada di luar kapasitas keuangan badan hukum atau entitas mana pun yang pada akhirnya mungkin bertanggung jawab atas kerusakan yang diakibatkannya. Kita juga harus mempertimbangkan fakta bahwa pada tahun 1986 tidak ada undang-undang khusus di bekas Uni Soviet yang akan memberikan hak kepada </w:t>
      </w:r>
      <w:r>
        <w:lastRenderedPageBreak/>
        <w:t>para korban di negara-negara penerus yang paling parah terkena dampak Ukraina, Belarus dan Rusia untuk mengklaim kompensasi atas kerusakan nuklir yang diderita. Juga tidak ada tanggung jawab internasional dan rezim kompensasi di mana bekas Uni Soviet adalah Pihak dan di mana para korban di negara-negara tetangga akan memiliki hak untuk mengklaim kompensasi sehubungan dengan kerusakan nuklir yang terjadi sebagai akibat dari kecelakaan itu.</w:t>
      </w:r>
    </w:p>
    <w:p w14:paraId="2789161C" w14:textId="77777777" w:rsidR="00111177" w:rsidRDefault="00111177" w:rsidP="00111177">
      <w:pPr>
        <w:spacing w:after="0" w:line="240" w:lineRule="auto"/>
        <w:ind w:leftChars="0" w:firstLineChars="0" w:firstLine="567"/>
      </w:pPr>
      <w:r>
        <w:t xml:space="preserve">Tidak adanya aspek-aspek tersebut membuat sangat sulit bagi para korban, baik di dalam maupun di luar Uni Soviet, untuk diberi kompensasi atas kerusakan yang mereka derita. Para korban di Uni Soviet dipaksa untuk menerima keputusan politik pemerintah mereka dalam memberikan kompensasi atas kerusakan yang diderita, sementara para korban di luar Uni Soviet kembali pada prinsip-prinsip hukum umum atau perdata jika berlaku, atau kemauan politik pemerintah mereka sendiri untuk mengkompensasi kerugian mereka. </w:t>
      </w:r>
    </w:p>
    <w:p w14:paraId="6A6FF113" w14:textId="77777777" w:rsidR="00111177" w:rsidRDefault="00111177" w:rsidP="00111177">
      <w:pPr>
        <w:spacing w:after="0" w:line="240" w:lineRule="auto"/>
        <w:ind w:leftChars="0" w:firstLineChars="0" w:firstLine="567"/>
      </w:pPr>
    </w:p>
    <w:p w14:paraId="51220AE9" w14:textId="77777777" w:rsidR="00111177" w:rsidRPr="00111177" w:rsidRDefault="00111177" w:rsidP="00111177">
      <w:pPr>
        <w:spacing w:after="0" w:line="240" w:lineRule="auto"/>
        <w:ind w:leftChars="0" w:firstLineChars="0" w:firstLine="0"/>
        <w:rPr>
          <w:b/>
          <w:bCs/>
        </w:rPr>
      </w:pPr>
      <w:r w:rsidRPr="00111177">
        <w:rPr>
          <w:b/>
          <w:bCs/>
        </w:rPr>
        <w:t>Upaya Negara dan Organisasi Internasional Dalam Merumuskan Regulasi Pemanfaatan Nuklir</w:t>
      </w:r>
    </w:p>
    <w:p w14:paraId="22096536" w14:textId="77777777" w:rsidR="00111177" w:rsidRDefault="00111177" w:rsidP="00111177">
      <w:pPr>
        <w:spacing w:after="0" w:line="240" w:lineRule="auto"/>
        <w:ind w:leftChars="0" w:firstLineChars="0" w:firstLine="567"/>
      </w:pPr>
      <w:r>
        <w:t>Bagi negara-negara yang tergabung sebagai anggota Badan Tenaga Atom Internasional (International Atomic Energy Agency/IAEA) yang melakukan pelanggaran dan penyalahgunaan pemanfaatan tenaga nuklir maka akan dikenai sanksi menurut ketentuan hukum internasional. Negara-negara yang diduga melakukan pelanggaran dan penyalahgunaan pemanfaatan tenaga nuklir akan dilakukan pemeriksaan oleh Badan Tenaga Atom Internasional (International Atomic Energy Agency/IAEA) dan apabila selama pemeriksaan tersebut diperoleh bukti-bukti dan keterangan yang mengarah kepada pelanggaran dalam hal pemanfaatan tenaga nuklir oleh negara yang sedang diperiksa tersebut, maka Badan Tenaga Atom Internasional (International Atomic Energy Agency/IAEA) akan melaporkannya kepada Dewan Keamanan (DK) Perserikatan Bangsa-Bangsa (PBB). Apabila melalui perundingan yang dilakukan oleh Dewan Keamanan (DK) Perserikatan BangsaBangsa (PBB) dengan negara yang bersangkutan tidak mendapatkan hasil yang diinginkan oleh Dewan Keamanan (DK) Perserikatan Bangsa-Bangsa (PBB) serta sesuai dengan ketentuan yang berlaku bagi anggota Badan Tenaga Atom Internasional (International Atomic Energy Agency/IAEA) maka akan dikenai sanksi berupa resolusi Dewan Keamanan (DK) Perserikatan Bangsa-Bangsa (PBB) berdasarkan laporan dan bukti-bukti serta keterangan yang diberikan oleh Badan Tenaga Atom Internasional (International Atomic Energy Agency/IAEA).</w:t>
      </w:r>
    </w:p>
    <w:p w14:paraId="5D7C96EA" w14:textId="77777777" w:rsidR="00111177" w:rsidRDefault="00111177" w:rsidP="00111177">
      <w:pPr>
        <w:spacing w:after="0" w:line="240" w:lineRule="auto"/>
        <w:ind w:leftChars="0" w:firstLineChars="0" w:firstLine="567"/>
      </w:pPr>
      <w:r>
        <w:t>Berdasarkan hukum internasional suatu negara bertanggungjawab bilamana suatu perbuatan atau kelalaian yang dapat dipertautkan kepadanya melahirkan pelanggaran terhadap suatu kewajiban internasional.</w:t>
      </w:r>
    </w:p>
    <w:p w14:paraId="0FB68818" w14:textId="77777777" w:rsidR="00111177" w:rsidRDefault="00111177" w:rsidP="00111177">
      <w:pPr>
        <w:spacing w:after="0" w:line="240" w:lineRule="auto"/>
        <w:ind w:leftChars="0" w:firstLineChars="0" w:firstLine="567"/>
      </w:pPr>
      <w:r>
        <w:t xml:space="preserve">Urgensi untuk meninjau kembali dan merevisi peraturan mengenai tanggung jawab finansial atas kecelakaan nuklir sudah jelas dan mendesak setidaknya selama puluhan tahun (sejak Chernobyl) dan telah menjadi sangat jelas karena Fukushima. Dan kini banyak pihak yang berharap bahwa kecelakaan Fukushima akan menjadi katalis bagi kemajuan nyata dalam rezim pertanggungjawaban nuklir. </w:t>
      </w:r>
    </w:p>
    <w:p w14:paraId="688FC893" w14:textId="77777777" w:rsidR="00111177" w:rsidRDefault="00111177" w:rsidP="00111177">
      <w:pPr>
        <w:spacing w:after="0" w:line="240" w:lineRule="auto"/>
        <w:ind w:leftChars="0" w:firstLineChars="0" w:firstLine="567"/>
      </w:pPr>
      <w:r>
        <w:t>IAEA menanggapi kecelakaan ini dengan menekankan perlunya mencapai rezim tanggung jawab nuklir “global”. Pada bulan Juni 2011, IAEA mengadopsi “Draft Action Plan on Nuclear Safety.” Yakni sebuah Rancangan Aksi Keselamatan Nuklir. Mengenai rezim pertanggungjawaban nuklir, di dalam draftnya IAEA menyatakan:</w:t>
      </w:r>
    </w:p>
    <w:p w14:paraId="6F0E90A8" w14:textId="77777777" w:rsidR="00111177" w:rsidRDefault="00111177" w:rsidP="00111177">
      <w:pPr>
        <w:spacing w:after="0" w:line="240" w:lineRule="auto"/>
        <w:ind w:leftChars="0" w:firstLineChars="0" w:firstLine="567"/>
      </w:pPr>
      <w:r>
        <w:t>Member States to work towards establishing a global nuclear liability regime that addresses the concerns of all States that might be affected by a nuclear accident with a view to providing appropriate compensation for nuclear damage. The IAEA International Expert Group on Nuclear Liability (INLEX) to recommend actions to facilitate achievement of such a global regime. Member States to give due consideration to the possibility of joining the international nuclear liability instruments as a step toward achieving such a global regime.</w:t>
      </w:r>
    </w:p>
    <w:p w14:paraId="1CD07465" w14:textId="77777777" w:rsidR="00111177" w:rsidRDefault="00111177" w:rsidP="00111177">
      <w:pPr>
        <w:spacing w:after="0" w:line="240" w:lineRule="auto"/>
        <w:ind w:leftChars="0" w:firstLineChars="0" w:firstLine="567"/>
      </w:pPr>
      <w:r>
        <w:lastRenderedPageBreak/>
        <w:t>Dimana inti dari draft tersebut menyatakan bahwa negara-negara anggota di haruskan memebentuk suatu rezim dalam hal pertanggungjawaban secara global demi mengantisispasi segala kemungkinan akibat dari kecelakaan nuklir bagi negara yang mungkin terkena dampak bencana nulkir dalam bentuk kompensasi sesuai dengan kerusakakan akibat kecelakaan nuklir. Menanggapi rencana aksi tersebut, INLEX merekomendasikan tindakan untuk mencapai rezim global tersebut. Secara keseluruhan, rekomendasi tersebut menyarankan negara-negara untuk berpartisipasi dalam rezim internasional yang ada agar dapat memanfaatkan tingkat fleksibilitas yang lebih tinggi yang ditawarkan oleh konvensi-konvensi tersebut. Namun, permintaan berulang kali kepada negara-negara untuk mematuhi konvensi internasional tidak membuahkan hasil yang nyata.</w:t>
      </w:r>
    </w:p>
    <w:p w14:paraId="040E07CF" w14:textId="77777777" w:rsidR="00111177" w:rsidRDefault="00111177" w:rsidP="00111177">
      <w:pPr>
        <w:spacing w:after="0" w:line="240" w:lineRule="auto"/>
        <w:ind w:leftChars="0" w:firstLineChars="0" w:firstLine="567"/>
      </w:pPr>
      <w:r>
        <w:t xml:space="preserve">IAEA memperkirakan bahwa Asia mungkin akan menjadi mesin pertumbuhan energi nuklir dunia. Kebutuhan energi negara-negara Asia sudah signifikan dan terus bertambah. Meskipun terjadi insiden Fukushima, IAEA memperkirakan bahwa sebagian besar ekspansi tenaga nuklir global akan terjadi di Asia. Karena potensi dampak lintas batas dari insiden nuklir, negara-negara di kawasan ini harus memiliki mekanisme yang jelas tentang bagaimana bertindak jika terjadi insiden seperti Fukushima atau Chernobyl. </w:t>
      </w:r>
    </w:p>
    <w:p w14:paraId="294E3DC2" w14:textId="77777777" w:rsidR="00111177" w:rsidRDefault="00111177" w:rsidP="00111177">
      <w:pPr>
        <w:spacing w:after="0" w:line="240" w:lineRule="auto"/>
        <w:ind w:leftChars="0" w:firstLineChars="0" w:firstLine="567"/>
      </w:pPr>
      <w:r>
        <w:t xml:space="preserve">Untuk menilai pentingnya perumusan regulasi terkait pemanfaatan Nuklir kita perlu kembali melihat faktor-faktor sebagai berikut. </w:t>
      </w:r>
    </w:p>
    <w:p w14:paraId="39A3FFBD" w14:textId="77777777" w:rsidR="00111177" w:rsidRDefault="00111177" w:rsidP="00111177">
      <w:pPr>
        <w:spacing w:after="0" w:line="240" w:lineRule="auto"/>
        <w:ind w:leftChars="0" w:left="851" w:firstLineChars="0" w:hanging="285"/>
      </w:pPr>
      <w:r>
        <w:t>1.</w:t>
      </w:r>
      <w:r>
        <w:tab/>
        <w:t xml:space="preserve">Pertama, diakui bahwa masyarakat perlu diyakinkan akan perlindungan yang memadai terhadap potensi besarnya risiko yang timbul dari produksi energi nuklir. Risiko-risiko ini tidak hanya terkait dengan pengoperasian reaktor nuklir, tetapi dengan produksi, pengangkutan, penyimpanan, dan pembuangan bahan bakar nuklir yang mampu kritis secara spontan. Mereka dapat menyebabkan kerusakan yang jauh lebih besar daripada industri konvensional lain, kerusakan akibat nuklir mungkin tidak termanifestasi sampai bertahun-tahun setelah insiden. Sementara untuk kasus sepeti Chernobyl perlu disadari bahwa bencana nuklir yang melibatkan emisi radiasi pengion skala besar, ratusan atau bahkan ribuan orang dapat menderita penyakit terkait radiasi, mengalami kerusakan pada properti mereka dan menderita berbagai bentuk kerugian ekonomi lainnya, serta kerusakan lingkungan yang permanen. </w:t>
      </w:r>
    </w:p>
    <w:p w14:paraId="6396BB57" w14:textId="77777777" w:rsidR="00111177" w:rsidRDefault="00111177" w:rsidP="00111177">
      <w:pPr>
        <w:spacing w:after="0" w:line="240" w:lineRule="auto"/>
        <w:ind w:leftChars="0" w:left="851" w:firstLineChars="0" w:hanging="285"/>
      </w:pPr>
      <w:r>
        <w:t>2.</w:t>
      </w:r>
      <w:r>
        <w:tab/>
        <w:t>Kedua, diakui bahwa publik bukan satu-satunya entitas yang membutuhkan perlindungan. kekhawatiran akan klaim pertanggungjawaban yang melemahkan secara finansial yang mungkin ajukan oleh korban setelah kecelakaan nuklir menghambat investasi dalam pembangunan pembangkit listrik baru oleh pemilik potensial, pembangun, dan pemasok peralatan, layanan, dan teknologi. Semua khawatir bahwa klaim semacam itu dapat menempatkan negara dalam kebangkrutan.</w:t>
      </w:r>
    </w:p>
    <w:p w14:paraId="289DF5F6" w14:textId="77777777" w:rsidR="00111177" w:rsidRDefault="00111177" w:rsidP="00111177">
      <w:pPr>
        <w:spacing w:after="0" w:line="240" w:lineRule="auto"/>
        <w:ind w:leftChars="0" w:firstLineChars="0" w:firstLine="567"/>
      </w:pPr>
      <w:r>
        <w:t xml:space="preserve">Negara-negara yang mempromosikan penggunaan energi nuklir secara damai dengan mengembangkan sejumlah prinsip dasar untuk menggantikan aturan hukum gugatan biasa, prinsip-prinsip yang membentuk dasar hukum pertanggungjawaban nuklir di sebagian besar negara industri di dunia saat ini. Prinsip-prinsip dasar tersebut meliputi: </w:t>
      </w:r>
    </w:p>
    <w:p w14:paraId="4EF1B3C9" w14:textId="77777777" w:rsidR="00111177" w:rsidRDefault="00111177" w:rsidP="00111177">
      <w:pPr>
        <w:spacing w:after="0" w:line="240" w:lineRule="auto"/>
        <w:ind w:leftChars="0" w:firstLineChars="0" w:firstLine="567"/>
      </w:pPr>
      <w:r>
        <w:t xml:space="preserve">Bahkan sebelum kecelakaan Chernobyl terjadi, negara-negara besar yang mempromosikan penggunaan energi nuklir secara damai juga mengakui bahwa dampak dari kecelakaan nuklir tidak akan berhenti di perbatasan politik atau geografis, dan bahwa akan sangat penting untuk membentuk hukun internasional untuk menyediakan sistem pertanggungjawaban yang harmonis untuk semua negara ini terutama berlaku untuk Eropa Barat. Diputuskan untuk membentuk rezim semacam itu melalui perjanjian internasional yang akan menetapkan aturan untuk melembagakan tindakan hukum lintas batas di mana para korban di satu negara ingin mengklaim kompensasi atas kerusakan terhadap operator nuklir di negara lain, untuk mengatasi tanggung jawab atas kerusakan yang timbul dari pengangkutan zat nuklir dari satu negara ke negara lain,  dan untuk menyelesaikan pertanyaan yang sering rumit tentang pengadilan negara bagian mana yang harus memiliki yurisdiksi untuk mendengar klaim kompensasi korban dan hukum negara bagian mana yang harus diterapkan pada ajudikasi klaim </w:t>
      </w:r>
      <w:r>
        <w:lastRenderedPageBreak/>
        <w:t xml:space="preserve">tersebut. Diakui bahwa sistem pertanggungjawaban yang diselaraskan seperti itu akan berkontribusi pada kepastian hukum, menghilangkan kemungkinan diskriminasi dan memastikan bahwa penuntut di negara-negara pihak konvensi akan memiliki tindakan mereka diputuskan oleh undang-undang serupa, terlepas dari di mana kecelakaan itu terjadi dan di mana kerusakan itu diderita. Selain itu, pemerintah negara harus menyadari bahwa besarnya potensi insiden nuklir akan membutuhkan kolaborasi internasional antara perusahaan asuransi nasional. Hanya dengan menyusun sumber daya pasar asuransi internasional dengan coinsurance dan reasuransi, keamanan finansial yang memadai dapat tersedia untuk memenuhi kemungkinan klaim kompensasi.  Kolaborasi semacam itu hanya dapat dicapai jika ada rezim tanggung jawab pihak ketiga yang seragam di tingkat internasional. </w:t>
      </w:r>
    </w:p>
    <w:p w14:paraId="298B028F" w14:textId="77777777" w:rsidR="00111177" w:rsidRDefault="00111177" w:rsidP="00111177">
      <w:pPr>
        <w:spacing w:after="0" w:line="240" w:lineRule="auto"/>
        <w:ind w:leftChars="0" w:firstLineChars="0" w:firstLine="567"/>
      </w:pPr>
      <w:r>
        <w:t>Selain itu dukungan lain seperti pengembagan teknologi dan sarana pengembangan ilmu pengetahuan yang menadai serta sumber daya manusia yang kompeten dibidangnya juga sangat perlu di kembangkan dengan lebih baik. Hal ini sangat penting pegaruhnya dalam mengupayakan keamanan industri nuklir dimana dari kemampuan untuk mendeteksi dan mengantisispasi terjadinya kecelakaan yang merugikan juga dapat terakomodir dengan lebih baik.</w:t>
      </w:r>
    </w:p>
    <w:p w14:paraId="74FD2C31" w14:textId="77777777" w:rsidR="00111177" w:rsidRDefault="00111177" w:rsidP="00111177">
      <w:pPr>
        <w:spacing w:after="0" w:line="240" w:lineRule="auto"/>
        <w:ind w:leftChars="0" w:firstLineChars="0" w:firstLine="567"/>
      </w:pPr>
    </w:p>
    <w:p w14:paraId="54EDE7F0" w14:textId="77777777" w:rsidR="00111177" w:rsidRPr="00111177" w:rsidRDefault="00111177" w:rsidP="00111177">
      <w:pPr>
        <w:spacing w:after="0" w:line="240" w:lineRule="auto"/>
        <w:ind w:leftChars="0" w:firstLineChars="0" w:firstLine="0"/>
        <w:rPr>
          <w:b/>
          <w:bCs/>
        </w:rPr>
      </w:pPr>
      <w:r w:rsidRPr="00111177">
        <w:rPr>
          <w:b/>
          <w:bCs/>
        </w:rPr>
        <w:t>Produk Hukum Terbaru Terkait pertanggungjawaban Nuklir dan Kendala dalam penerapannya</w:t>
      </w:r>
    </w:p>
    <w:p w14:paraId="45E7C0AC" w14:textId="77777777" w:rsidR="00111177" w:rsidRDefault="00111177" w:rsidP="00111177">
      <w:pPr>
        <w:spacing w:after="0" w:line="240" w:lineRule="auto"/>
        <w:ind w:leftChars="0" w:firstLineChars="0" w:firstLine="567"/>
      </w:pPr>
      <w:r>
        <w:t>Berdasarkan poin-poin diatas mekanisme yang akhirnya dipilih ditetapkan dalam instrumen hukum terpisah, Negosiasi SCNL menghasilkan adopsi Protokol untuk Mengubah Konvensi Wina tentang Tanggung Jawab Sipil untuk Kerusakan Nuklir (RVC Protokol)</w:t>
      </w:r>
    </w:p>
    <w:p w14:paraId="42CAEE66" w14:textId="77777777" w:rsidR="00111177" w:rsidRDefault="00111177" w:rsidP="00111177">
      <w:pPr>
        <w:spacing w:after="0" w:line="240" w:lineRule="auto"/>
        <w:ind w:leftChars="0" w:firstLineChars="0" w:firstLine="567"/>
      </w:pPr>
    </w:p>
    <w:p w14:paraId="66D76232" w14:textId="6B8B9FDA" w:rsidR="00111177" w:rsidRDefault="00111177" w:rsidP="00111177">
      <w:pPr>
        <w:spacing w:after="0" w:line="240" w:lineRule="auto"/>
        <w:ind w:leftChars="0" w:firstLineChars="0" w:firstLine="568"/>
      </w:pPr>
      <w:r w:rsidRPr="00111177">
        <w:rPr>
          <w:b/>
          <w:bCs/>
        </w:rPr>
        <w:t>1.Protokol RVC,</w:t>
      </w:r>
      <w:r>
        <w:t xml:space="preserve"> sebuah instrumen yang dirancang dengan jelas untuk memastikan bahwa lebih banyak uang akan tersedia untuk mengkompensasi lebih banyak orang untuk rentang kerusakan nuklir yang lebih luas yang diderita daripada sebelumnya, dan sama-sama dirancang dengan jelas untuk menarik kepatuhan luas dari negara-negara pembangkit listrik tenaga nuklir dan non-nuklir dengan fitur utama antara lain, lebih banyak uang tersedia untuk kompensasi korban: Jumlah kewajiban operator nuklir ditingkatkan dari minimum 5 juta USD menjadi minimum 300 juta SDR. Operator dapat menyediakan sedikitnya 150 juta SDR, tetapi dalam hal ini Negara Instalasi wajib menyediakan jumlah tambahan yang sama. Para Pihak dapat menetapkan jumlah pertanggungjawaban serendah 5 juta SDR di mana sifat instalasi nuklir atau zat nuklir yang terlibat dibenarkan, tetapi jika kerusakan nuklir yang terjadi melebihi jumlah yang lebih rendah, Negara Instalasi harus memastikan bahwa dana publik tersedia untuk membuat perbedaan menjadi 300 juta SDR.</w:t>
      </w:r>
    </w:p>
    <w:p w14:paraId="6FDEFE97" w14:textId="1CEDB42D" w:rsidR="00111177" w:rsidRDefault="00111177" w:rsidP="00111177">
      <w:pPr>
        <w:spacing w:after="0" w:line="240" w:lineRule="auto"/>
        <w:ind w:leftChars="0" w:firstLineChars="0" w:firstLine="567"/>
      </w:pPr>
      <w:r>
        <w:tab/>
        <w:t>Sekitar 80 negara berpartisipasi dalam negosiasi dan dalam Konferensi Diplomatik yang memuncak dalam adopsi. Namun hanya 15 negara yang benar-benar menandatangani Protokol, dan 14 di antaranya melakukannya dalam waktu satu tahun setelah diadopsi, ketika motivasi dan dorongan keduanya masih kuat. Protokol ini mulai berlaku pada tanggal 4 Oktober 2003, sekitar enam tahun setelah diadopsi, telah diratifikasi oleh sejumlah negara yang diperlukan untuk tujuan tersebut. Dari 33 Pihak dalam Konvensi Wina, hanya 13 dari mereka yang telah menandatangani Protokol VC dan dari mereka, hanya lima yang telah meratifikasi instrumen: Argentina, Belarus, Latvia, Maroko dan Rumania. Melihat statistik sedikit lebih dekat, orang tidak bisa tidak memperhatikan bahwa tidak satu pun dari lima negara ini memiliki kapasitas pembangkit nuklir yang signifikan; sebenarnya hanya dua yang memiliki kapasitas pembangkit nuklir, ini adalah Argentina dan Rumania dan tingkat cukup rendah.</w:t>
      </w:r>
    </w:p>
    <w:p w14:paraId="58D9CC4F" w14:textId="77777777" w:rsidR="00111177" w:rsidRDefault="00111177" w:rsidP="00111177">
      <w:pPr>
        <w:spacing w:after="0" w:line="240" w:lineRule="auto"/>
        <w:ind w:leftChars="0" w:firstLineChars="0" w:firstLine="567"/>
      </w:pPr>
      <w:r>
        <w:t xml:space="preserve">Selain itu, dari sepuluh Penandatangan Protokol yang tersisa, hanya empat yang dapat dikategorikan sebagai negara pembangkit listrik tenaga nuklir, Republik Ceko, Hongaria, Lithuania, dan Ukraina. Terlepas dari Ukraina, yang memiliki kapasitas pembangkit listrik tenaga nuklir yang signifikan, masing-masing negara ini adalah generator tenaga nuklir yang relatif rendah dibandingkan dengan negara-negara pembangkit listrik tenaga nuklir utama </w:t>
      </w:r>
      <w:r>
        <w:lastRenderedPageBreak/>
        <w:t xml:space="preserve">lainnya di dunia saat ini. Negara-negara lain dengan program tenaga nuklir yang signifikan, seperti Federasi Rusia, belum mengambil langkah apa pun untuk mengaksesi Protokol VC,  sebuah perkembangan yang akan memberikan perlindungan yang jauh lebih besar kepada korban kecelakaan yang terjadi di wilayahnya. Bagi banyak dari negara-negara ini, persyaratan kewajiban minimum dipandang terlalu curam terlepas dari manfaat ketentuan pentahapan. Orang lain mungkin menemukan bahwa ketentuan lingkup geografis yang diperluas atau definisi kerusakan nuklir yang diperluas begitu luas sehingga secara politis tidak dapat diterima. Yang lebih luar biasa, mungkin, adalah kenyataan bahwa tidak ada negara penghasil tenaga nuklir "non-konvensi" yang penting telah bergabung dengan Protokol VC meskipun mudah dibuka bagi mereka untuk melakukannya, negara-negara seperti Kanada, Cina, India, Jepang, Korea dan Amerika Serikat. </w:t>
      </w:r>
    </w:p>
    <w:p w14:paraId="7894BCA3" w14:textId="77777777" w:rsidR="00111177" w:rsidRDefault="00111177" w:rsidP="00111177">
      <w:pPr>
        <w:spacing w:after="0" w:line="240" w:lineRule="auto"/>
        <w:ind w:leftChars="0" w:firstLineChars="0" w:firstLine="567"/>
      </w:pPr>
    </w:p>
    <w:p w14:paraId="367FCA71" w14:textId="6680664E" w:rsidR="00111177" w:rsidRDefault="00111177" w:rsidP="00111177">
      <w:pPr>
        <w:spacing w:after="0" w:line="240" w:lineRule="auto"/>
        <w:ind w:leftChars="0" w:firstLineChars="0" w:firstLine="567"/>
      </w:pPr>
      <w:r w:rsidRPr="00111177">
        <w:rPr>
          <w:b/>
          <w:bCs/>
        </w:rPr>
        <w:t>2.Convention on Supplementary Compensation (CSC),</w:t>
      </w:r>
      <w:r>
        <w:t xml:space="preserve"> Pada tahun 1997 atas desakan Amerika Serikat, IAEA mensponsori rezim tanggung jawab nuklir internasional lainnya yakni Konvensi Kompensasi Tambahan. CSC diberlakukan terutama untuk menyelaraskan Undang-Undang Price-Anderson AS dengan hukum internasional. CSC menyediakan dua tingkatan kompensasi. Di tingkat pertama, menetapkan besaran ganti rugi sebesar 300 juta SDR. Sejauh dana dari operator tidak mencukupi untuk menutupi jumlah ini, negara instalasi harus menyediakan dana publik untuk menutupi selisihnya. Di tingkat kedua, jika klaim ganti rugi kerusakan nuklir melebihi 300 juta SDR, jumlah tambahan harus ditawarkan melalui kontribusi oleh negara-negara anggota berdasarkan kapasitas nuklir terpasang mereka. Jumlah tambahan ini harus disediakan melalui kontribusi oleh negara-negara anggota secara kolektif berdasarkan formula yang memperhitungkan kapasitas nuklir terpasang suatu negara dan tingkat penilaian PBB. Oleh karena itu, jumlahnya tidak tetap, tetapi bergantung pada jumlah pembangkit listrik tenaga nuklir di negara-negara anggota dan akan meningkat seiring dengan peningkatan kapasitas nuklir suatu negara.</w:t>
      </w:r>
    </w:p>
    <w:p w14:paraId="5F861F6D" w14:textId="77777777" w:rsidR="00111177" w:rsidRDefault="00111177" w:rsidP="00111177">
      <w:pPr>
        <w:spacing w:after="0" w:line="240" w:lineRule="auto"/>
        <w:ind w:leftChars="0" w:firstLineChars="0" w:firstLine="567"/>
      </w:pPr>
      <w:r>
        <w:t>Satu kelebihan lain dari CSC adalah bahwa 50 persen dari dana internasional akan digunakan untuk mengkompensasi kerusakan yang diderita baik di dalam maupun di luar negara instalasi, sementara 50 persen sisanya akan digunakan secara eksklusif untuk mengkompensasi kerusakan lintas batas. Namun demikian, alokasi dana internasional dapat bervariasi tergantung pada kompensasi nasional yang disediakan oleh negara instalasi. Oleh karena itu, jika negara instalasi menetapkan suatu kompensasi nasional yang lebih rendah dari 300 juta SDR, maka persentase dana internasional yang secara eksklusif tersedia untuk mengkompensasi kerusakan lintas batas harus dinaikkan. Akan tetapi jika negara pemasangan menyediakan jumlah kompensasi nasional sebesar 600 juta SDR atau lebih, maka seluruh jumlah kompensasi tambahan harus digunakan untuk mengkompensasi kerusakan yang diderita baik di dalam maupun di luar negara instalasi.</w:t>
      </w:r>
    </w:p>
    <w:p w14:paraId="3770724A" w14:textId="77777777" w:rsidR="00111177" w:rsidRDefault="00111177" w:rsidP="00111177">
      <w:pPr>
        <w:spacing w:after="0" w:line="240" w:lineRule="auto"/>
        <w:ind w:leftChars="0" w:firstLineChars="0" w:firstLine="567"/>
      </w:pPr>
      <w:r>
        <w:t>Untuk kerusakan lintas batas yang akan dikompensasi menggunakan dana internasional, CSC mensyaratkan bahwa kerusakan tersebut seharusnya terjadi dalam lingkup geografis CSC, yaitu di dalam wilayah pihak yang berkontrak. Dengan kata lain, dana internasional tidak tersedia bagi pihak yang tidak terikat kontrak. Namun, sehubungan dengan jumlah kompensasi nasional, CSC menyerahkan kepada kebijaksanaan negara bagian instalasi untuk memasukkan atau mengecualikan kerusakan yang diderita negara bagian lain yang bukan merupakan pihak CSC. Kebijaksanaan ini, bagaimanapun, tunduk pada kewajiban lain dari negara anggota yang mungkin timbul berdasarkan konvensi internasional lainnya tentang tanggung jawab nuklir.</w:t>
      </w:r>
    </w:p>
    <w:p w14:paraId="6FDD449E" w14:textId="77777777" w:rsidR="00111177" w:rsidRDefault="00111177" w:rsidP="00111177">
      <w:pPr>
        <w:spacing w:after="0" w:line="240" w:lineRule="auto"/>
        <w:ind w:leftChars="0" w:firstLineChars="0" w:firstLine="567"/>
      </w:pPr>
      <w:r>
        <w:t xml:space="preserve">Keuntungan yang ditawarkan CSC adalah bahwa ini adalah instrumen yang dapat dipatuhi oleh semua negara terlepas dari apakah mereka merupakan pihak dalam konvensi pertanggungjawaban nuklir yang ada dan terlepas dari apakah mereka memiliki instalasi nuklir di wilayah mereka. CSC dapat dipatuhi bahkan jika pihak-pihak yang membuat kontrak mengadakan pengaturan atau perjanjian regional untuk tanggung jawab. Namun, persyaratan penting adalah bahwa negara harus memberlakukan undang-undang pertanggungjawaban </w:t>
      </w:r>
      <w:r>
        <w:lastRenderedPageBreak/>
        <w:t>nasional yang konsisten dengan model undang-undang yang dijelaskan dalam lampiran CSC (atau mengubah undang-undang yang tidak konsisten) atau Konvensi Wina atau Paris. Oleh karena itu, CSC dapat berfungsi sebagai konvensi “tambahan”: yaitu, di atas konvensi yang sudah ada. CSC belum berlaku.</w:t>
      </w:r>
    </w:p>
    <w:p w14:paraId="169E4308" w14:textId="77777777" w:rsidR="00111177" w:rsidRDefault="00111177" w:rsidP="00111177">
      <w:pPr>
        <w:spacing w:after="0" w:line="240" w:lineRule="auto"/>
        <w:ind w:leftChars="0" w:firstLineChars="0" w:firstLine="567"/>
      </w:pPr>
      <w:r>
        <w:t>Sementara itu beberapa negara yang memiliki industry Nuklir besar, seperti India, Cina, dan Jepang, belum menjadi pihak dalam konvensi utama mana pun. Di antara negara-negara ASEAN, Filipina dan Indonesia telah menandatangani Konvensi Wina dan Protokol 1997. Oleh karena itu, jelaslah bahwa sebagian besar reaktor nuklir dunia tetap berada di luar kerangka konvensi mana pun.</w:t>
      </w:r>
    </w:p>
    <w:p w14:paraId="507E5775" w14:textId="77777777" w:rsidR="00111177" w:rsidRDefault="00111177" w:rsidP="00111177">
      <w:pPr>
        <w:spacing w:after="0" w:line="240" w:lineRule="auto"/>
        <w:ind w:leftChars="0" w:firstLineChars="0" w:firstLine="567"/>
      </w:pPr>
      <w:r>
        <w:t>Kerangka kerja CSC akan memerlukan lebih banyak negara tenaga nuklir, seperti Tiongkok, India, Perancis, dan Jepang, dan mungkin lebih banyak negara energi nuklir Eropa yang menjadi pihak dalam salah satu konvensi pertanggungjawaban. Alasannya adalah karena kapasitas terpasang yang diperlukan agar CSC dapat berlaku memerlukan penyertaan negara-negara besar dengan kapasitas terpasang nuklir yang tinggi. Selain itu, partisipasi negara-negara ini juga penting dalam menjadikan CSC sebagai kerangka kerja yang efektif, karena hal ini akan meningkatkan akses terhadap jumlah dana yang mungkin tersedia jika terjadi kecelakaan nuklir.</w:t>
      </w:r>
    </w:p>
    <w:p w14:paraId="79DC55D5" w14:textId="31FB9E1E" w:rsidR="00730BB9" w:rsidRDefault="00111177" w:rsidP="00111177">
      <w:pPr>
        <w:spacing w:after="0" w:line="240" w:lineRule="auto"/>
        <w:ind w:leftChars="0" w:left="0" w:firstLineChars="0" w:firstLine="567"/>
      </w:pPr>
      <w:r>
        <w:t>Melihat bahwa lebih banyak negara yang tidak ikut serta dibandingakan dengan negara yang ikut serta dalam konvensi-konvensi ini membuktikan bahwa masih perlu dilakukan kajian-kanian mendalam mengenai hal ini, bebagai alasan menyadi factor penyebab antara lain faktor geografi, kepentingan politik antar negara dan pertimbangan mengenai keuntungan ekonomi. Dalam hal ini IAEA melalui PBB sepatutnya memberlakukan unsur pemaksa berupa sanksi keras bagi setiap negara dalam hal keterlibatan dalam regulasi terkait penggunaan nuklir, karena isu Nuklir merupakan Universal Priciple yang berlaku umum baik bagi negara industi nuklir maupun negara non-industri nuklir, isu-isu lintas batas pun perlu diperketat dalam hal ini, Dimana semua negara memiliki wewenang dan tanggungjawab yang sama maka semua negara harus mematuhi resim hukum internasinal terkait penggunaan dam pertanggung jawaban nuklir.</w:t>
      </w:r>
    </w:p>
    <w:p w14:paraId="0FB23D65" w14:textId="77777777" w:rsidR="00E1632D" w:rsidRDefault="00E1632D" w:rsidP="00111177">
      <w:pPr>
        <w:spacing w:after="0" w:line="240" w:lineRule="auto"/>
        <w:ind w:leftChars="0" w:left="0" w:firstLineChars="0" w:firstLine="567"/>
      </w:pPr>
    </w:p>
    <w:p w14:paraId="0544CB66" w14:textId="1D96EA8F" w:rsidR="00E1632D" w:rsidRDefault="00E1632D" w:rsidP="00E1632D">
      <w:pPr>
        <w:spacing w:after="0" w:line="240" w:lineRule="auto"/>
        <w:ind w:leftChars="0" w:left="0" w:firstLineChars="0" w:firstLine="567"/>
        <w:jc w:val="center"/>
        <w:rPr>
          <w:b/>
          <w:bCs/>
          <w:sz w:val="20"/>
          <w:szCs w:val="18"/>
        </w:rPr>
      </w:pPr>
      <w:r w:rsidRPr="00E1632D">
        <w:rPr>
          <w:b/>
          <w:bCs/>
          <w:sz w:val="20"/>
          <w:szCs w:val="18"/>
        </w:rPr>
        <w:t>Table 3.1 : Negara-Negara Tenaga Nuklir dan Konvensi Nuklir yang diikuti</w:t>
      </w:r>
    </w:p>
    <w:tbl>
      <w:tblPr>
        <w:tblW w:w="8359" w:type="dxa"/>
        <w:jc w:val="center"/>
        <w:tblBorders>
          <w:top w:val="single" w:sz="4" w:space="0" w:color="auto"/>
          <w:insideH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399"/>
        <w:gridCol w:w="2812"/>
        <w:gridCol w:w="1556"/>
        <w:gridCol w:w="2592"/>
      </w:tblGrid>
      <w:tr w:rsidR="00E1632D" w:rsidRPr="00E1632D" w14:paraId="5D51FA66" w14:textId="77777777" w:rsidTr="00E1632D">
        <w:trPr>
          <w:jc w:val="center"/>
        </w:trPr>
        <w:tc>
          <w:tcPr>
            <w:tcW w:w="0" w:type="auto"/>
            <w:shd w:val="clear" w:color="auto" w:fill="BFBFBF" w:themeFill="background1" w:themeFillShade="BF"/>
            <w:vAlign w:val="center"/>
            <w:hideMark/>
          </w:tcPr>
          <w:p w14:paraId="7C0C9A47" w14:textId="77777777" w:rsidR="00E1632D" w:rsidRPr="00E1632D" w:rsidRDefault="00E1632D" w:rsidP="005F1352">
            <w:pPr>
              <w:ind w:leftChars="0" w:left="0" w:firstLineChars="0" w:firstLine="0"/>
              <w:rPr>
                <w:b/>
                <w:bCs/>
                <w:sz w:val="20"/>
                <w:szCs w:val="20"/>
              </w:rPr>
            </w:pPr>
            <w:r w:rsidRPr="00E1632D">
              <w:rPr>
                <w:b/>
                <w:bCs/>
                <w:sz w:val="20"/>
                <w:szCs w:val="20"/>
              </w:rPr>
              <w:t>Negara</w:t>
            </w:r>
          </w:p>
        </w:tc>
        <w:tc>
          <w:tcPr>
            <w:tcW w:w="2812" w:type="dxa"/>
            <w:shd w:val="clear" w:color="auto" w:fill="BFBFBF" w:themeFill="background1" w:themeFillShade="BF"/>
            <w:vAlign w:val="center"/>
            <w:hideMark/>
          </w:tcPr>
          <w:p w14:paraId="0A8783DE" w14:textId="77777777" w:rsidR="00E1632D" w:rsidRPr="00E1632D" w:rsidRDefault="00E1632D" w:rsidP="005F1352">
            <w:pPr>
              <w:ind w:leftChars="0" w:left="0" w:firstLineChars="0" w:firstLine="0"/>
              <w:rPr>
                <w:b/>
                <w:bCs/>
                <w:sz w:val="20"/>
                <w:szCs w:val="20"/>
              </w:rPr>
            </w:pPr>
            <w:r w:rsidRPr="00E1632D">
              <w:rPr>
                <w:b/>
                <w:bCs/>
                <w:sz w:val="20"/>
                <w:szCs w:val="20"/>
              </w:rPr>
              <w:t>Konvensi</w:t>
            </w:r>
          </w:p>
        </w:tc>
        <w:tc>
          <w:tcPr>
            <w:tcW w:w="0" w:type="auto"/>
            <w:shd w:val="clear" w:color="auto" w:fill="BFBFBF" w:themeFill="background1" w:themeFillShade="BF"/>
            <w:vAlign w:val="center"/>
            <w:hideMark/>
          </w:tcPr>
          <w:p w14:paraId="0BDA88AF" w14:textId="77777777" w:rsidR="00E1632D" w:rsidRPr="00E1632D" w:rsidRDefault="00E1632D" w:rsidP="005F1352">
            <w:pPr>
              <w:ind w:leftChars="0" w:left="0" w:firstLineChars="0" w:firstLine="0"/>
              <w:rPr>
                <w:b/>
                <w:bCs/>
                <w:sz w:val="20"/>
                <w:szCs w:val="20"/>
              </w:rPr>
            </w:pPr>
            <w:r w:rsidRPr="00E1632D">
              <w:rPr>
                <w:b/>
                <w:bCs/>
                <w:sz w:val="20"/>
                <w:szCs w:val="20"/>
              </w:rPr>
              <w:t>Negara</w:t>
            </w:r>
          </w:p>
        </w:tc>
        <w:tc>
          <w:tcPr>
            <w:tcW w:w="2592" w:type="dxa"/>
            <w:shd w:val="clear" w:color="auto" w:fill="BFBFBF" w:themeFill="background1" w:themeFillShade="BF"/>
            <w:vAlign w:val="center"/>
            <w:hideMark/>
          </w:tcPr>
          <w:p w14:paraId="59BA5B6B" w14:textId="77777777" w:rsidR="00E1632D" w:rsidRPr="00E1632D" w:rsidRDefault="00E1632D" w:rsidP="005F1352">
            <w:pPr>
              <w:ind w:leftChars="0" w:left="0" w:firstLineChars="0" w:firstLine="0"/>
              <w:rPr>
                <w:b/>
                <w:bCs/>
                <w:sz w:val="20"/>
                <w:szCs w:val="20"/>
              </w:rPr>
            </w:pPr>
            <w:r w:rsidRPr="00E1632D">
              <w:rPr>
                <w:b/>
                <w:bCs/>
                <w:sz w:val="20"/>
                <w:szCs w:val="20"/>
              </w:rPr>
              <w:t>Konvensi</w:t>
            </w:r>
          </w:p>
        </w:tc>
      </w:tr>
      <w:tr w:rsidR="00E1632D" w:rsidRPr="00E1632D" w14:paraId="3DC4B3B8" w14:textId="77777777" w:rsidTr="00E1632D">
        <w:trPr>
          <w:jc w:val="center"/>
        </w:trPr>
        <w:tc>
          <w:tcPr>
            <w:tcW w:w="0" w:type="auto"/>
            <w:shd w:val="clear" w:color="auto" w:fill="FFFFFF" w:themeFill="background1"/>
            <w:vAlign w:val="center"/>
            <w:hideMark/>
          </w:tcPr>
          <w:p w14:paraId="2D0015CA" w14:textId="77777777" w:rsidR="00E1632D" w:rsidRPr="00E1632D" w:rsidRDefault="00E1632D" w:rsidP="005F1352">
            <w:pPr>
              <w:ind w:leftChars="0" w:left="0" w:firstLineChars="0" w:firstLine="0"/>
              <w:rPr>
                <w:bCs/>
                <w:sz w:val="20"/>
                <w:szCs w:val="20"/>
              </w:rPr>
            </w:pPr>
            <w:r w:rsidRPr="00E1632D">
              <w:rPr>
                <w:bCs/>
                <w:sz w:val="20"/>
                <w:szCs w:val="20"/>
              </w:rPr>
              <w:t>Argentina</w:t>
            </w:r>
          </w:p>
        </w:tc>
        <w:tc>
          <w:tcPr>
            <w:tcW w:w="2812" w:type="dxa"/>
            <w:shd w:val="clear" w:color="auto" w:fill="FFFFFF" w:themeFill="background1"/>
            <w:vAlign w:val="center"/>
            <w:hideMark/>
          </w:tcPr>
          <w:p w14:paraId="7750AE16" w14:textId="77777777" w:rsidR="00E1632D" w:rsidRPr="00E1632D" w:rsidRDefault="00E1632D" w:rsidP="005F1352">
            <w:pPr>
              <w:ind w:leftChars="0" w:left="0" w:firstLineChars="0" w:firstLine="0"/>
              <w:rPr>
                <w:bCs/>
                <w:sz w:val="20"/>
                <w:szCs w:val="20"/>
              </w:rPr>
            </w:pPr>
            <w:r w:rsidRPr="00E1632D">
              <w:rPr>
                <w:bCs/>
                <w:sz w:val="20"/>
                <w:szCs w:val="20"/>
              </w:rPr>
              <w:t>VC; RVC; CSC</w:t>
            </w:r>
          </w:p>
        </w:tc>
        <w:tc>
          <w:tcPr>
            <w:tcW w:w="0" w:type="auto"/>
            <w:shd w:val="clear" w:color="auto" w:fill="FFFFFF" w:themeFill="background1"/>
            <w:vAlign w:val="center"/>
            <w:hideMark/>
          </w:tcPr>
          <w:p w14:paraId="6D337BAC" w14:textId="77777777" w:rsidR="00E1632D" w:rsidRPr="00E1632D" w:rsidRDefault="00E1632D" w:rsidP="005F1352">
            <w:pPr>
              <w:ind w:leftChars="0" w:left="0" w:firstLineChars="0" w:firstLine="0"/>
              <w:rPr>
                <w:bCs/>
                <w:sz w:val="20"/>
                <w:szCs w:val="20"/>
              </w:rPr>
            </w:pPr>
            <w:r w:rsidRPr="00E1632D">
              <w:rPr>
                <w:bCs/>
                <w:sz w:val="20"/>
                <w:szCs w:val="20"/>
              </w:rPr>
              <w:t>Lithuania</w:t>
            </w:r>
          </w:p>
        </w:tc>
        <w:tc>
          <w:tcPr>
            <w:tcW w:w="2592" w:type="dxa"/>
            <w:shd w:val="clear" w:color="auto" w:fill="FFFFFF" w:themeFill="background1"/>
            <w:vAlign w:val="center"/>
            <w:hideMark/>
          </w:tcPr>
          <w:p w14:paraId="6B1C7516" w14:textId="77777777" w:rsidR="00E1632D" w:rsidRPr="00E1632D" w:rsidRDefault="00E1632D" w:rsidP="005F1352">
            <w:pPr>
              <w:ind w:leftChars="0" w:left="0" w:firstLineChars="0" w:firstLine="0"/>
              <w:rPr>
                <w:bCs/>
                <w:sz w:val="20"/>
                <w:szCs w:val="20"/>
              </w:rPr>
            </w:pPr>
            <w:r w:rsidRPr="00E1632D">
              <w:rPr>
                <w:bCs/>
                <w:sz w:val="20"/>
                <w:szCs w:val="20"/>
              </w:rPr>
              <w:t>VC; JP</w:t>
            </w:r>
          </w:p>
        </w:tc>
      </w:tr>
      <w:tr w:rsidR="00E1632D" w:rsidRPr="00E1632D" w14:paraId="1C0A9F7A" w14:textId="77777777" w:rsidTr="00E1632D">
        <w:trPr>
          <w:jc w:val="center"/>
        </w:trPr>
        <w:tc>
          <w:tcPr>
            <w:tcW w:w="0" w:type="auto"/>
            <w:shd w:val="clear" w:color="auto" w:fill="FFFFFF" w:themeFill="background1"/>
            <w:vAlign w:val="center"/>
            <w:hideMark/>
          </w:tcPr>
          <w:p w14:paraId="3E2F74E2" w14:textId="77777777" w:rsidR="00E1632D" w:rsidRPr="00E1632D" w:rsidRDefault="00E1632D" w:rsidP="005F1352">
            <w:pPr>
              <w:ind w:leftChars="0" w:left="0" w:firstLineChars="0" w:firstLine="0"/>
              <w:rPr>
                <w:bCs/>
                <w:sz w:val="20"/>
                <w:szCs w:val="20"/>
              </w:rPr>
            </w:pPr>
            <w:r w:rsidRPr="00E1632D">
              <w:rPr>
                <w:bCs/>
                <w:sz w:val="20"/>
                <w:szCs w:val="20"/>
              </w:rPr>
              <w:t>Armenia</w:t>
            </w:r>
          </w:p>
        </w:tc>
        <w:tc>
          <w:tcPr>
            <w:tcW w:w="2812" w:type="dxa"/>
            <w:shd w:val="clear" w:color="auto" w:fill="FFFFFF" w:themeFill="background1"/>
            <w:vAlign w:val="center"/>
            <w:hideMark/>
          </w:tcPr>
          <w:p w14:paraId="3DA3D02D" w14:textId="77777777" w:rsidR="00E1632D" w:rsidRPr="00E1632D" w:rsidRDefault="00E1632D" w:rsidP="005F1352">
            <w:pPr>
              <w:ind w:leftChars="0" w:left="0" w:firstLineChars="0" w:firstLine="0"/>
              <w:rPr>
                <w:bCs/>
                <w:sz w:val="20"/>
                <w:szCs w:val="20"/>
              </w:rPr>
            </w:pPr>
            <w:r w:rsidRPr="00E1632D">
              <w:rPr>
                <w:bCs/>
                <w:sz w:val="20"/>
                <w:szCs w:val="20"/>
              </w:rPr>
              <w:t>VC</w:t>
            </w:r>
          </w:p>
        </w:tc>
        <w:tc>
          <w:tcPr>
            <w:tcW w:w="0" w:type="auto"/>
            <w:shd w:val="clear" w:color="auto" w:fill="FFFFFF" w:themeFill="background1"/>
            <w:vAlign w:val="center"/>
            <w:hideMark/>
          </w:tcPr>
          <w:p w14:paraId="50763287" w14:textId="77777777" w:rsidR="00E1632D" w:rsidRPr="00E1632D" w:rsidRDefault="00E1632D" w:rsidP="005F1352">
            <w:pPr>
              <w:ind w:leftChars="0" w:left="0" w:firstLineChars="0" w:firstLine="0"/>
              <w:rPr>
                <w:bCs/>
                <w:sz w:val="20"/>
                <w:szCs w:val="20"/>
              </w:rPr>
            </w:pPr>
            <w:r w:rsidRPr="00E1632D">
              <w:rPr>
                <w:bCs/>
                <w:sz w:val="20"/>
                <w:szCs w:val="20"/>
              </w:rPr>
              <w:t>Meksiko</w:t>
            </w:r>
          </w:p>
        </w:tc>
        <w:tc>
          <w:tcPr>
            <w:tcW w:w="2592" w:type="dxa"/>
            <w:shd w:val="clear" w:color="auto" w:fill="FFFFFF" w:themeFill="background1"/>
            <w:vAlign w:val="center"/>
            <w:hideMark/>
          </w:tcPr>
          <w:p w14:paraId="617D3943" w14:textId="77777777" w:rsidR="00E1632D" w:rsidRPr="00E1632D" w:rsidRDefault="00E1632D" w:rsidP="005F1352">
            <w:pPr>
              <w:ind w:leftChars="0" w:left="0" w:firstLineChars="0" w:firstLine="0"/>
              <w:rPr>
                <w:bCs/>
                <w:sz w:val="20"/>
                <w:szCs w:val="20"/>
              </w:rPr>
            </w:pPr>
            <w:r w:rsidRPr="00E1632D">
              <w:rPr>
                <w:bCs/>
                <w:sz w:val="20"/>
                <w:szCs w:val="20"/>
              </w:rPr>
              <w:t>VC</w:t>
            </w:r>
          </w:p>
        </w:tc>
      </w:tr>
      <w:tr w:rsidR="00E1632D" w:rsidRPr="00E1632D" w14:paraId="287B80BC" w14:textId="77777777" w:rsidTr="00E1632D">
        <w:trPr>
          <w:jc w:val="center"/>
        </w:trPr>
        <w:tc>
          <w:tcPr>
            <w:tcW w:w="0" w:type="auto"/>
            <w:shd w:val="clear" w:color="auto" w:fill="FFFFFF" w:themeFill="background1"/>
            <w:vAlign w:val="center"/>
            <w:hideMark/>
          </w:tcPr>
          <w:p w14:paraId="5E94C085" w14:textId="77777777" w:rsidR="00E1632D" w:rsidRPr="00E1632D" w:rsidRDefault="00E1632D" w:rsidP="005F1352">
            <w:pPr>
              <w:ind w:leftChars="0" w:left="0" w:firstLineChars="0" w:firstLine="0"/>
              <w:rPr>
                <w:bCs/>
                <w:sz w:val="20"/>
                <w:szCs w:val="20"/>
              </w:rPr>
            </w:pPr>
            <w:r w:rsidRPr="00E1632D">
              <w:rPr>
                <w:bCs/>
                <w:sz w:val="20"/>
                <w:szCs w:val="20"/>
              </w:rPr>
              <w:t>Belgium</w:t>
            </w:r>
          </w:p>
        </w:tc>
        <w:tc>
          <w:tcPr>
            <w:tcW w:w="2812" w:type="dxa"/>
            <w:shd w:val="clear" w:color="auto" w:fill="FFFFFF" w:themeFill="background1"/>
            <w:vAlign w:val="center"/>
            <w:hideMark/>
          </w:tcPr>
          <w:p w14:paraId="0BAA86CF" w14:textId="77777777" w:rsidR="00E1632D" w:rsidRPr="00E1632D" w:rsidRDefault="00E1632D" w:rsidP="005F1352">
            <w:pPr>
              <w:ind w:leftChars="0" w:left="0" w:firstLineChars="0" w:firstLine="0"/>
              <w:rPr>
                <w:bCs/>
                <w:sz w:val="20"/>
                <w:szCs w:val="20"/>
              </w:rPr>
            </w:pPr>
            <w:r w:rsidRPr="00E1632D">
              <w:rPr>
                <w:bCs/>
                <w:sz w:val="20"/>
                <w:szCs w:val="20"/>
              </w:rPr>
              <w:t>PC; BSC; RPC; RBSC</w:t>
            </w:r>
          </w:p>
        </w:tc>
        <w:tc>
          <w:tcPr>
            <w:tcW w:w="0" w:type="auto"/>
            <w:shd w:val="clear" w:color="auto" w:fill="FFFFFF" w:themeFill="background1"/>
            <w:vAlign w:val="center"/>
            <w:hideMark/>
          </w:tcPr>
          <w:p w14:paraId="28027A88" w14:textId="77777777" w:rsidR="00E1632D" w:rsidRPr="00E1632D" w:rsidRDefault="00E1632D" w:rsidP="005F1352">
            <w:pPr>
              <w:ind w:leftChars="0" w:left="0" w:firstLineChars="0" w:firstLine="0"/>
              <w:rPr>
                <w:bCs/>
                <w:sz w:val="20"/>
                <w:szCs w:val="20"/>
              </w:rPr>
            </w:pPr>
            <w:r w:rsidRPr="00E1632D">
              <w:rPr>
                <w:bCs/>
                <w:sz w:val="20"/>
                <w:szCs w:val="20"/>
              </w:rPr>
              <w:t>Belanda</w:t>
            </w:r>
          </w:p>
        </w:tc>
        <w:tc>
          <w:tcPr>
            <w:tcW w:w="2592" w:type="dxa"/>
            <w:shd w:val="clear" w:color="auto" w:fill="FFFFFF" w:themeFill="background1"/>
            <w:vAlign w:val="center"/>
            <w:hideMark/>
          </w:tcPr>
          <w:p w14:paraId="02238A41" w14:textId="77777777" w:rsidR="00E1632D" w:rsidRPr="00E1632D" w:rsidRDefault="00E1632D" w:rsidP="005F1352">
            <w:pPr>
              <w:ind w:leftChars="0" w:left="0" w:firstLineChars="0" w:firstLine="0"/>
              <w:rPr>
                <w:bCs/>
                <w:sz w:val="20"/>
                <w:szCs w:val="20"/>
              </w:rPr>
            </w:pPr>
            <w:r w:rsidRPr="00E1632D">
              <w:rPr>
                <w:bCs/>
                <w:sz w:val="20"/>
                <w:szCs w:val="20"/>
              </w:rPr>
              <w:t>PC; BSC; JP; RPC; RBSC</w:t>
            </w:r>
          </w:p>
        </w:tc>
      </w:tr>
      <w:tr w:rsidR="00E1632D" w:rsidRPr="00E1632D" w14:paraId="1310427A" w14:textId="77777777" w:rsidTr="00E1632D">
        <w:trPr>
          <w:jc w:val="center"/>
        </w:trPr>
        <w:tc>
          <w:tcPr>
            <w:tcW w:w="0" w:type="auto"/>
            <w:shd w:val="clear" w:color="auto" w:fill="FFFFFF" w:themeFill="background1"/>
            <w:vAlign w:val="center"/>
            <w:hideMark/>
          </w:tcPr>
          <w:p w14:paraId="25066AB7" w14:textId="77777777" w:rsidR="00E1632D" w:rsidRPr="00E1632D" w:rsidRDefault="00E1632D" w:rsidP="005F1352">
            <w:pPr>
              <w:ind w:leftChars="0" w:left="0" w:firstLineChars="0" w:firstLine="0"/>
              <w:rPr>
                <w:bCs/>
                <w:sz w:val="20"/>
                <w:szCs w:val="20"/>
              </w:rPr>
            </w:pPr>
            <w:r w:rsidRPr="00E1632D">
              <w:rPr>
                <w:bCs/>
                <w:sz w:val="20"/>
                <w:szCs w:val="20"/>
              </w:rPr>
              <w:t>Brazil</w:t>
            </w:r>
          </w:p>
        </w:tc>
        <w:tc>
          <w:tcPr>
            <w:tcW w:w="2812" w:type="dxa"/>
            <w:shd w:val="clear" w:color="auto" w:fill="FFFFFF" w:themeFill="background1"/>
            <w:vAlign w:val="center"/>
            <w:hideMark/>
          </w:tcPr>
          <w:p w14:paraId="0238C4BA" w14:textId="77777777" w:rsidR="00E1632D" w:rsidRPr="00E1632D" w:rsidRDefault="00E1632D" w:rsidP="005F1352">
            <w:pPr>
              <w:ind w:leftChars="0" w:left="0" w:firstLineChars="0" w:firstLine="0"/>
              <w:rPr>
                <w:bCs/>
                <w:sz w:val="20"/>
                <w:szCs w:val="20"/>
              </w:rPr>
            </w:pPr>
            <w:r w:rsidRPr="00E1632D">
              <w:rPr>
                <w:bCs/>
                <w:sz w:val="20"/>
                <w:szCs w:val="20"/>
              </w:rPr>
              <w:t>VC</w:t>
            </w:r>
          </w:p>
        </w:tc>
        <w:tc>
          <w:tcPr>
            <w:tcW w:w="0" w:type="auto"/>
            <w:shd w:val="clear" w:color="auto" w:fill="FFFFFF" w:themeFill="background1"/>
            <w:vAlign w:val="center"/>
            <w:hideMark/>
          </w:tcPr>
          <w:p w14:paraId="56DFC9AB" w14:textId="77777777" w:rsidR="00E1632D" w:rsidRPr="00E1632D" w:rsidRDefault="00E1632D" w:rsidP="005F1352">
            <w:pPr>
              <w:ind w:leftChars="0" w:left="0" w:firstLineChars="0" w:firstLine="0"/>
              <w:rPr>
                <w:bCs/>
                <w:sz w:val="20"/>
                <w:szCs w:val="20"/>
              </w:rPr>
            </w:pPr>
            <w:r w:rsidRPr="00E1632D">
              <w:rPr>
                <w:bCs/>
                <w:sz w:val="20"/>
                <w:szCs w:val="20"/>
              </w:rPr>
              <w:t>Pakistan</w:t>
            </w:r>
          </w:p>
        </w:tc>
        <w:tc>
          <w:tcPr>
            <w:tcW w:w="2592" w:type="dxa"/>
            <w:shd w:val="clear" w:color="auto" w:fill="FFFFFF" w:themeFill="background1"/>
            <w:vAlign w:val="center"/>
            <w:hideMark/>
          </w:tcPr>
          <w:p w14:paraId="62488481" w14:textId="77777777" w:rsidR="00E1632D" w:rsidRPr="00E1632D" w:rsidRDefault="00E1632D" w:rsidP="005F1352">
            <w:pPr>
              <w:ind w:leftChars="0" w:left="0" w:firstLineChars="0" w:firstLine="0"/>
              <w:rPr>
                <w:bCs/>
                <w:sz w:val="20"/>
                <w:szCs w:val="20"/>
              </w:rPr>
            </w:pPr>
            <w:r w:rsidRPr="00E1632D">
              <w:rPr>
                <w:bCs/>
                <w:sz w:val="20"/>
                <w:szCs w:val="20"/>
              </w:rPr>
              <w:t> </w:t>
            </w:r>
          </w:p>
        </w:tc>
      </w:tr>
      <w:tr w:rsidR="00E1632D" w:rsidRPr="00E1632D" w14:paraId="7EC57FDD" w14:textId="77777777" w:rsidTr="00E1632D">
        <w:trPr>
          <w:jc w:val="center"/>
        </w:trPr>
        <w:tc>
          <w:tcPr>
            <w:tcW w:w="0" w:type="auto"/>
            <w:shd w:val="clear" w:color="auto" w:fill="FFFFFF" w:themeFill="background1"/>
            <w:vAlign w:val="center"/>
            <w:hideMark/>
          </w:tcPr>
          <w:p w14:paraId="71D2EE3A" w14:textId="77777777" w:rsidR="00E1632D" w:rsidRPr="00E1632D" w:rsidRDefault="00E1632D" w:rsidP="005F1352">
            <w:pPr>
              <w:ind w:leftChars="0" w:left="0" w:firstLineChars="0" w:firstLine="0"/>
              <w:rPr>
                <w:bCs/>
                <w:sz w:val="20"/>
                <w:szCs w:val="20"/>
              </w:rPr>
            </w:pPr>
            <w:r w:rsidRPr="00E1632D">
              <w:rPr>
                <w:bCs/>
                <w:sz w:val="20"/>
                <w:szCs w:val="20"/>
              </w:rPr>
              <w:t>Bulgaria</w:t>
            </w:r>
          </w:p>
        </w:tc>
        <w:tc>
          <w:tcPr>
            <w:tcW w:w="2812" w:type="dxa"/>
            <w:shd w:val="clear" w:color="auto" w:fill="FFFFFF" w:themeFill="background1"/>
            <w:vAlign w:val="center"/>
            <w:hideMark/>
          </w:tcPr>
          <w:p w14:paraId="440A11D8" w14:textId="77777777" w:rsidR="00E1632D" w:rsidRPr="00E1632D" w:rsidRDefault="00E1632D" w:rsidP="005F1352">
            <w:pPr>
              <w:ind w:leftChars="0" w:left="0" w:firstLineChars="0" w:firstLine="0"/>
              <w:rPr>
                <w:bCs/>
                <w:sz w:val="20"/>
                <w:szCs w:val="20"/>
              </w:rPr>
            </w:pPr>
            <w:r w:rsidRPr="00E1632D">
              <w:rPr>
                <w:bCs/>
                <w:sz w:val="20"/>
                <w:szCs w:val="20"/>
              </w:rPr>
              <w:t>VC; JP</w:t>
            </w:r>
          </w:p>
        </w:tc>
        <w:tc>
          <w:tcPr>
            <w:tcW w:w="0" w:type="auto"/>
            <w:shd w:val="clear" w:color="auto" w:fill="FFFFFF" w:themeFill="background1"/>
            <w:vAlign w:val="center"/>
            <w:hideMark/>
          </w:tcPr>
          <w:p w14:paraId="515B5F2A" w14:textId="77777777" w:rsidR="00E1632D" w:rsidRPr="00E1632D" w:rsidRDefault="00E1632D" w:rsidP="005F1352">
            <w:pPr>
              <w:ind w:leftChars="0" w:left="0" w:firstLineChars="0" w:firstLine="0"/>
              <w:rPr>
                <w:bCs/>
                <w:sz w:val="20"/>
                <w:szCs w:val="20"/>
              </w:rPr>
            </w:pPr>
            <w:r w:rsidRPr="00E1632D">
              <w:rPr>
                <w:bCs/>
                <w:sz w:val="20"/>
                <w:szCs w:val="20"/>
              </w:rPr>
              <w:t>Rumania</w:t>
            </w:r>
          </w:p>
        </w:tc>
        <w:tc>
          <w:tcPr>
            <w:tcW w:w="2592" w:type="dxa"/>
            <w:shd w:val="clear" w:color="auto" w:fill="FFFFFF" w:themeFill="background1"/>
            <w:vAlign w:val="center"/>
            <w:hideMark/>
          </w:tcPr>
          <w:p w14:paraId="395EA3FA" w14:textId="77777777" w:rsidR="00E1632D" w:rsidRPr="00E1632D" w:rsidRDefault="00E1632D" w:rsidP="005F1352">
            <w:pPr>
              <w:ind w:leftChars="0" w:left="0" w:firstLineChars="0" w:firstLine="0"/>
              <w:rPr>
                <w:bCs/>
                <w:sz w:val="20"/>
                <w:szCs w:val="20"/>
              </w:rPr>
            </w:pPr>
            <w:r w:rsidRPr="00E1632D">
              <w:rPr>
                <w:bCs/>
                <w:sz w:val="20"/>
                <w:szCs w:val="20"/>
              </w:rPr>
              <w:t>VC; JP; RVC; CSC</w:t>
            </w:r>
          </w:p>
        </w:tc>
      </w:tr>
      <w:tr w:rsidR="00E1632D" w:rsidRPr="00E1632D" w14:paraId="730F645B" w14:textId="77777777" w:rsidTr="00E1632D">
        <w:trPr>
          <w:jc w:val="center"/>
        </w:trPr>
        <w:tc>
          <w:tcPr>
            <w:tcW w:w="0" w:type="auto"/>
            <w:shd w:val="clear" w:color="auto" w:fill="FFFFFF" w:themeFill="background1"/>
            <w:vAlign w:val="center"/>
            <w:hideMark/>
          </w:tcPr>
          <w:p w14:paraId="79C73D83" w14:textId="77777777" w:rsidR="00E1632D" w:rsidRPr="00E1632D" w:rsidRDefault="00E1632D" w:rsidP="005F1352">
            <w:pPr>
              <w:ind w:leftChars="0" w:left="0" w:firstLineChars="0" w:firstLine="0"/>
              <w:rPr>
                <w:bCs/>
                <w:sz w:val="20"/>
                <w:szCs w:val="20"/>
              </w:rPr>
            </w:pPr>
            <w:r w:rsidRPr="00E1632D">
              <w:rPr>
                <w:bCs/>
                <w:sz w:val="20"/>
                <w:szCs w:val="20"/>
              </w:rPr>
              <w:t>Kanada</w:t>
            </w:r>
          </w:p>
        </w:tc>
        <w:tc>
          <w:tcPr>
            <w:tcW w:w="2812" w:type="dxa"/>
            <w:shd w:val="clear" w:color="auto" w:fill="FFFFFF" w:themeFill="background1"/>
            <w:vAlign w:val="center"/>
            <w:hideMark/>
          </w:tcPr>
          <w:p w14:paraId="6B8FD115" w14:textId="77777777" w:rsidR="00E1632D" w:rsidRPr="00E1632D" w:rsidRDefault="00E1632D" w:rsidP="005F1352">
            <w:pPr>
              <w:ind w:leftChars="0" w:left="0" w:firstLineChars="0" w:firstLine="0"/>
              <w:rPr>
                <w:bCs/>
                <w:sz w:val="20"/>
                <w:szCs w:val="20"/>
              </w:rPr>
            </w:pPr>
            <w:r w:rsidRPr="00E1632D">
              <w:rPr>
                <w:bCs/>
                <w:sz w:val="20"/>
                <w:szCs w:val="20"/>
              </w:rPr>
              <w:t> </w:t>
            </w:r>
          </w:p>
        </w:tc>
        <w:tc>
          <w:tcPr>
            <w:tcW w:w="0" w:type="auto"/>
            <w:shd w:val="clear" w:color="auto" w:fill="FFFFFF" w:themeFill="background1"/>
            <w:vAlign w:val="center"/>
            <w:hideMark/>
          </w:tcPr>
          <w:p w14:paraId="075514A2" w14:textId="77777777" w:rsidR="00E1632D" w:rsidRPr="00E1632D" w:rsidRDefault="00E1632D" w:rsidP="005F1352">
            <w:pPr>
              <w:ind w:leftChars="0" w:left="0" w:firstLineChars="0" w:firstLine="0"/>
              <w:rPr>
                <w:bCs/>
                <w:sz w:val="20"/>
                <w:szCs w:val="20"/>
              </w:rPr>
            </w:pPr>
            <w:r w:rsidRPr="00E1632D">
              <w:rPr>
                <w:bCs/>
                <w:sz w:val="20"/>
                <w:szCs w:val="20"/>
              </w:rPr>
              <w:t>Rusia</w:t>
            </w:r>
          </w:p>
        </w:tc>
        <w:tc>
          <w:tcPr>
            <w:tcW w:w="2592" w:type="dxa"/>
            <w:shd w:val="clear" w:color="auto" w:fill="FFFFFF" w:themeFill="background1"/>
            <w:vAlign w:val="center"/>
            <w:hideMark/>
          </w:tcPr>
          <w:p w14:paraId="66054405" w14:textId="77777777" w:rsidR="00E1632D" w:rsidRPr="00E1632D" w:rsidRDefault="00E1632D" w:rsidP="005F1352">
            <w:pPr>
              <w:ind w:leftChars="0" w:left="0" w:firstLineChars="0" w:firstLine="0"/>
              <w:rPr>
                <w:bCs/>
                <w:sz w:val="20"/>
                <w:szCs w:val="20"/>
              </w:rPr>
            </w:pPr>
            <w:r w:rsidRPr="00E1632D">
              <w:rPr>
                <w:bCs/>
                <w:sz w:val="20"/>
                <w:szCs w:val="20"/>
              </w:rPr>
              <w:t>VC</w:t>
            </w:r>
          </w:p>
        </w:tc>
      </w:tr>
      <w:tr w:rsidR="00E1632D" w:rsidRPr="00E1632D" w14:paraId="4413BA64" w14:textId="77777777" w:rsidTr="00E1632D">
        <w:trPr>
          <w:jc w:val="center"/>
        </w:trPr>
        <w:tc>
          <w:tcPr>
            <w:tcW w:w="0" w:type="auto"/>
            <w:shd w:val="clear" w:color="auto" w:fill="FFFFFF" w:themeFill="background1"/>
            <w:vAlign w:val="center"/>
            <w:hideMark/>
          </w:tcPr>
          <w:p w14:paraId="3089F085" w14:textId="77777777" w:rsidR="00E1632D" w:rsidRPr="00E1632D" w:rsidRDefault="00E1632D" w:rsidP="005F1352">
            <w:pPr>
              <w:ind w:leftChars="0" w:left="0" w:firstLineChars="0" w:firstLine="0"/>
              <w:rPr>
                <w:bCs/>
                <w:sz w:val="20"/>
                <w:szCs w:val="20"/>
              </w:rPr>
            </w:pPr>
            <w:r w:rsidRPr="00E1632D">
              <w:rPr>
                <w:bCs/>
                <w:sz w:val="20"/>
                <w:szCs w:val="20"/>
              </w:rPr>
              <w:t>Cina</w:t>
            </w:r>
          </w:p>
        </w:tc>
        <w:tc>
          <w:tcPr>
            <w:tcW w:w="2812" w:type="dxa"/>
            <w:shd w:val="clear" w:color="auto" w:fill="FFFFFF" w:themeFill="background1"/>
            <w:vAlign w:val="center"/>
            <w:hideMark/>
          </w:tcPr>
          <w:p w14:paraId="36DCE2BA" w14:textId="77777777" w:rsidR="00E1632D" w:rsidRPr="00E1632D" w:rsidRDefault="00E1632D" w:rsidP="005F1352">
            <w:pPr>
              <w:ind w:leftChars="0" w:left="0" w:firstLineChars="0" w:firstLine="0"/>
              <w:rPr>
                <w:bCs/>
                <w:sz w:val="20"/>
                <w:szCs w:val="20"/>
              </w:rPr>
            </w:pPr>
            <w:r w:rsidRPr="00E1632D">
              <w:rPr>
                <w:bCs/>
                <w:sz w:val="20"/>
                <w:szCs w:val="20"/>
              </w:rPr>
              <w:t> </w:t>
            </w:r>
          </w:p>
        </w:tc>
        <w:tc>
          <w:tcPr>
            <w:tcW w:w="0" w:type="auto"/>
            <w:shd w:val="clear" w:color="auto" w:fill="FFFFFF" w:themeFill="background1"/>
            <w:vAlign w:val="center"/>
            <w:hideMark/>
          </w:tcPr>
          <w:p w14:paraId="52F2CD31" w14:textId="77777777" w:rsidR="00E1632D" w:rsidRPr="00E1632D" w:rsidRDefault="00E1632D" w:rsidP="005F1352">
            <w:pPr>
              <w:ind w:leftChars="0" w:left="0" w:firstLineChars="0" w:firstLine="0"/>
              <w:rPr>
                <w:bCs/>
                <w:sz w:val="20"/>
                <w:szCs w:val="20"/>
              </w:rPr>
            </w:pPr>
            <w:r w:rsidRPr="00E1632D">
              <w:rPr>
                <w:bCs/>
                <w:sz w:val="20"/>
                <w:szCs w:val="20"/>
              </w:rPr>
              <w:t>Slovakia</w:t>
            </w:r>
          </w:p>
        </w:tc>
        <w:tc>
          <w:tcPr>
            <w:tcW w:w="2592" w:type="dxa"/>
            <w:shd w:val="clear" w:color="auto" w:fill="FFFFFF" w:themeFill="background1"/>
            <w:vAlign w:val="center"/>
            <w:hideMark/>
          </w:tcPr>
          <w:p w14:paraId="47B69F8D" w14:textId="77777777" w:rsidR="00E1632D" w:rsidRPr="00E1632D" w:rsidRDefault="00E1632D" w:rsidP="005F1352">
            <w:pPr>
              <w:ind w:leftChars="0" w:left="0" w:firstLineChars="0" w:firstLine="0"/>
              <w:rPr>
                <w:bCs/>
                <w:sz w:val="20"/>
                <w:szCs w:val="20"/>
              </w:rPr>
            </w:pPr>
            <w:r w:rsidRPr="00E1632D">
              <w:rPr>
                <w:bCs/>
                <w:sz w:val="20"/>
                <w:szCs w:val="20"/>
              </w:rPr>
              <w:t>VC; JP</w:t>
            </w:r>
          </w:p>
        </w:tc>
      </w:tr>
      <w:tr w:rsidR="00E1632D" w:rsidRPr="00E1632D" w14:paraId="4683DB67" w14:textId="77777777" w:rsidTr="00E1632D">
        <w:trPr>
          <w:jc w:val="center"/>
        </w:trPr>
        <w:tc>
          <w:tcPr>
            <w:tcW w:w="0" w:type="auto"/>
            <w:shd w:val="clear" w:color="auto" w:fill="FFFFFF" w:themeFill="background1"/>
            <w:vAlign w:val="center"/>
            <w:hideMark/>
          </w:tcPr>
          <w:p w14:paraId="43E263D2" w14:textId="77777777" w:rsidR="00E1632D" w:rsidRPr="00E1632D" w:rsidRDefault="00E1632D" w:rsidP="005F1352">
            <w:pPr>
              <w:ind w:leftChars="0" w:left="0" w:firstLineChars="0" w:firstLine="0"/>
              <w:rPr>
                <w:bCs/>
                <w:sz w:val="20"/>
                <w:szCs w:val="20"/>
              </w:rPr>
            </w:pPr>
            <w:r w:rsidRPr="00E1632D">
              <w:rPr>
                <w:bCs/>
                <w:sz w:val="20"/>
                <w:szCs w:val="20"/>
              </w:rPr>
              <w:t>Republik Ceko</w:t>
            </w:r>
          </w:p>
        </w:tc>
        <w:tc>
          <w:tcPr>
            <w:tcW w:w="2812" w:type="dxa"/>
            <w:shd w:val="clear" w:color="auto" w:fill="FFFFFF" w:themeFill="background1"/>
            <w:vAlign w:val="center"/>
            <w:hideMark/>
          </w:tcPr>
          <w:p w14:paraId="5F1C52CB" w14:textId="77777777" w:rsidR="00E1632D" w:rsidRPr="00E1632D" w:rsidRDefault="00E1632D" w:rsidP="005F1352">
            <w:pPr>
              <w:ind w:leftChars="0" w:left="0" w:firstLineChars="0" w:firstLine="0"/>
              <w:rPr>
                <w:bCs/>
                <w:sz w:val="20"/>
                <w:szCs w:val="20"/>
              </w:rPr>
            </w:pPr>
            <w:r w:rsidRPr="00E1632D">
              <w:rPr>
                <w:bCs/>
                <w:sz w:val="20"/>
                <w:szCs w:val="20"/>
              </w:rPr>
              <w:t>VC; JP</w:t>
            </w:r>
          </w:p>
        </w:tc>
        <w:tc>
          <w:tcPr>
            <w:tcW w:w="0" w:type="auto"/>
            <w:shd w:val="clear" w:color="auto" w:fill="FFFFFF" w:themeFill="background1"/>
            <w:vAlign w:val="center"/>
            <w:hideMark/>
          </w:tcPr>
          <w:p w14:paraId="5CA117FA" w14:textId="77777777" w:rsidR="00E1632D" w:rsidRPr="00E1632D" w:rsidRDefault="00E1632D" w:rsidP="005F1352">
            <w:pPr>
              <w:ind w:leftChars="0" w:left="0" w:firstLineChars="0" w:firstLine="0"/>
              <w:rPr>
                <w:bCs/>
                <w:sz w:val="20"/>
                <w:szCs w:val="20"/>
              </w:rPr>
            </w:pPr>
            <w:r w:rsidRPr="00E1632D">
              <w:rPr>
                <w:bCs/>
                <w:sz w:val="20"/>
                <w:szCs w:val="20"/>
              </w:rPr>
              <w:t>Slovenia</w:t>
            </w:r>
          </w:p>
        </w:tc>
        <w:tc>
          <w:tcPr>
            <w:tcW w:w="2592" w:type="dxa"/>
            <w:shd w:val="clear" w:color="auto" w:fill="FFFFFF" w:themeFill="background1"/>
            <w:vAlign w:val="center"/>
            <w:hideMark/>
          </w:tcPr>
          <w:p w14:paraId="2B21B0AE" w14:textId="77777777" w:rsidR="00E1632D" w:rsidRPr="00E1632D" w:rsidRDefault="00E1632D" w:rsidP="005F1352">
            <w:pPr>
              <w:ind w:leftChars="0" w:left="0" w:firstLineChars="0" w:firstLine="0"/>
              <w:rPr>
                <w:bCs/>
                <w:sz w:val="20"/>
                <w:szCs w:val="20"/>
              </w:rPr>
            </w:pPr>
            <w:r w:rsidRPr="00E1632D">
              <w:rPr>
                <w:bCs/>
                <w:sz w:val="20"/>
                <w:szCs w:val="20"/>
              </w:rPr>
              <w:t>PC; BSC; JP; RPC; RBSC</w:t>
            </w:r>
          </w:p>
        </w:tc>
      </w:tr>
      <w:tr w:rsidR="00E1632D" w:rsidRPr="00E1632D" w14:paraId="4ED16619" w14:textId="77777777" w:rsidTr="00E1632D">
        <w:trPr>
          <w:jc w:val="center"/>
        </w:trPr>
        <w:tc>
          <w:tcPr>
            <w:tcW w:w="0" w:type="auto"/>
            <w:shd w:val="clear" w:color="auto" w:fill="FFFFFF" w:themeFill="background1"/>
            <w:vAlign w:val="center"/>
            <w:hideMark/>
          </w:tcPr>
          <w:p w14:paraId="4B84D03D" w14:textId="77777777" w:rsidR="00E1632D" w:rsidRPr="00E1632D" w:rsidRDefault="00E1632D" w:rsidP="005F1352">
            <w:pPr>
              <w:ind w:leftChars="0" w:left="0" w:firstLineChars="0" w:firstLine="0"/>
              <w:rPr>
                <w:bCs/>
                <w:sz w:val="20"/>
                <w:szCs w:val="20"/>
              </w:rPr>
            </w:pPr>
            <w:r w:rsidRPr="00E1632D">
              <w:rPr>
                <w:bCs/>
                <w:sz w:val="20"/>
                <w:szCs w:val="20"/>
              </w:rPr>
              <w:t>Finlandia</w:t>
            </w:r>
          </w:p>
        </w:tc>
        <w:tc>
          <w:tcPr>
            <w:tcW w:w="2812" w:type="dxa"/>
            <w:shd w:val="clear" w:color="auto" w:fill="FFFFFF" w:themeFill="background1"/>
            <w:vAlign w:val="center"/>
            <w:hideMark/>
          </w:tcPr>
          <w:p w14:paraId="41359B7D" w14:textId="77777777" w:rsidR="00E1632D" w:rsidRPr="00E1632D" w:rsidRDefault="00E1632D" w:rsidP="005F1352">
            <w:pPr>
              <w:ind w:leftChars="0" w:left="0" w:firstLineChars="0" w:firstLine="0"/>
              <w:rPr>
                <w:bCs/>
                <w:sz w:val="20"/>
                <w:szCs w:val="20"/>
              </w:rPr>
            </w:pPr>
            <w:r w:rsidRPr="00E1632D">
              <w:rPr>
                <w:bCs/>
                <w:sz w:val="20"/>
                <w:szCs w:val="20"/>
              </w:rPr>
              <w:t>PC; BSC; JP; RPC; RBSC</w:t>
            </w:r>
          </w:p>
        </w:tc>
        <w:tc>
          <w:tcPr>
            <w:tcW w:w="0" w:type="auto"/>
            <w:shd w:val="clear" w:color="auto" w:fill="FFFFFF" w:themeFill="background1"/>
            <w:vAlign w:val="center"/>
            <w:hideMark/>
          </w:tcPr>
          <w:p w14:paraId="409AD065" w14:textId="77777777" w:rsidR="00E1632D" w:rsidRPr="00E1632D" w:rsidRDefault="00E1632D" w:rsidP="005F1352">
            <w:pPr>
              <w:ind w:leftChars="0" w:left="0" w:firstLineChars="0" w:firstLine="0"/>
              <w:rPr>
                <w:bCs/>
                <w:sz w:val="20"/>
                <w:szCs w:val="20"/>
              </w:rPr>
            </w:pPr>
            <w:r w:rsidRPr="00E1632D">
              <w:rPr>
                <w:bCs/>
                <w:sz w:val="20"/>
                <w:szCs w:val="20"/>
              </w:rPr>
              <w:t>Afrika Selatan</w:t>
            </w:r>
          </w:p>
        </w:tc>
        <w:tc>
          <w:tcPr>
            <w:tcW w:w="2592" w:type="dxa"/>
            <w:shd w:val="clear" w:color="auto" w:fill="FFFFFF" w:themeFill="background1"/>
            <w:vAlign w:val="center"/>
            <w:hideMark/>
          </w:tcPr>
          <w:p w14:paraId="0E397F32" w14:textId="77777777" w:rsidR="00E1632D" w:rsidRPr="00E1632D" w:rsidRDefault="00E1632D" w:rsidP="005F1352">
            <w:pPr>
              <w:ind w:leftChars="0" w:left="0" w:firstLineChars="0" w:firstLine="0"/>
              <w:rPr>
                <w:bCs/>
                <w:sz w:val="20"/>
                <w:szCs w:val="20"/>
              </w:rPr>
            </w:pPr>
            <w:r w:rsidRPr="00E1632D">
              <w:rPr>
                <w:bCs/>
                <w:sz w:val="20"/>
                <w:szCs w:val="20"/>
              </w:rPr>
              <w:t> </w:t>
            </w:r>
          </w:p>
        </w:tc>
      </w:tr>
      <w:tr w:rsidR="00E1632D" w:rsidRPr="00E1632D" w14:paraId="1FDD85E8" w14:textId="77777777" w:rsidTr="00E1632D">
        <w:trPr>
          <w:jc w:val="center"/>
        </w:trPr>
        <w:tc>
          <w:tcPr>
            <w:tcW w:w="0" w:type="auto"/>
            <w:shd w:val="clear" w:color="auto" w:fill="FFFFFF" w:themeFill="background1"/>
            <w:vAlign w:val="center"/>
            <w:hideMark/>
          </w:tcPr>
          <w:p w14:paraId="5246AB1E" w14:textId="77777777" w:rsidR="00E1632D" w:rsidRPr="00E1632D" w:rsidRDefault="00E1632D" w:rsidP="005F1352">
            <w:pPr>
              <w:ind w:leftChars="0" w:left="0" w:firstLineChars="0" w:firstLine="0"/>
              <w:rPr>
                <w:bCs/>
                <w:sz w:val="20"/>
                <w:szCs w:val="20"/>
              </w:rPr>
            </w:pPr>
            <w:r w:rsidRPr="00E1632D">
              <w:rPr>
                <w:bCs/>
                <w:sz w:val="20"/>
                <w:szCs w:val="20"/>
              </w:rPr>
              <w:t>Perancis</w:t>
            </w:r>
          </w:p>
        </w:tc>
        <w:tc>
          <w:tcPr>
            <w:tcW w:w="2812" w:type="dxa"/>
            <w:shd w:val="clear" w:color="auto" w:fill="FFFFFF" w:themeFill="background1"/>
            <w:vAlign w:val="center"/>
            <w:hideMark/>
          </w:tcPr>
          <w:p w14:paraId="7C1F7629" w14:textId="77777777" w:rsidR="00E1632D" w:rsidRPr="00E1632D" w:rsidRDefault="00E1632D" w:rsidP="005F1352">
            <w:pPr>
              <w:ind w:leftChars="0" w:left="0" w:firstLineChars="0" w:firstLine="0"/>
              <w:rPr>
                <w:bCs/>
                <w:sz w:val="20"/>
                <w:szCs w:val="20"/>
              </w:rPr>
            </w:pPr>
            <w:r w:rsidRPr="00E1632D">
              <w:rPr>
                <w:bCs/>
                <w:sz w:val="20"/>
                <w:szCs w:val="20"/>
              </w:rPr>
              <w:t>PC; BSC; RPC; RBSC</w:t>
            </w:r>
          </w:p>
        </w:tc>
        <w:tc>
          <w:tcPr>
            <w:tcW w:w="0" w:type="auto"/>
            <w:shd w:val="clear" w:color="auto" w:fill="FFFFFF" w:themeFill="background1"/>
            <w:vAlign w:val="center"/>
            <w:hideMark/>
          </w:tcPr>
          <w:p w14:paraId="5E05020C" w14:textId="77777777" w:rsidR="00E1632D" w:rsidRPr="00E1632D" w:rsidRDefault="00E1632D" w:rsidP="005F1352">
            <w:pPr>
              <w:ind w:leftChars="0" w:left="0" w:firstLineChars="0" w:firstLine="0"/>
              <w:rPr>
                <w:bCs/>
                <w:sz w:val="20"/>
                <w:szCs w:val="20"/>
              </w:rPr>
            </w:pPr>
            <w:r w:rsidRPr="00E1632D">
              <w:rPr>
                <w:bCs/>
                <w:sz w:val="20"/>
                <w:szCs w:val="20"/>
              </w:rPr>
              <w:t>Spanyol</w:t>
            </w:r>
          </w:p>
        </w:tc>
        <w:tc>
          <w:tcPr>
            <w:tcW w:w="2592" w:type="dxa"/>
            <w:shd w:val="clear" w:color="auto" w:fill="FFFFFF" w:themeFill="background1"/>
            <w:vAlign w:val="center"/>
            <w:hideMark/>
          </w:tcPr>
          <w:p w14:paraId="012C69A5" w14:textId="77777777" w:rsidR="00E1632D" w:rsidRPr="00E1632D" w:rsidRDefault="00E1632D" w:rsidP="005F1352">
            <w:pPr>
              <w:ind w:leftChars="0" w:left="0" w:firstLineChars="0" w:firstLine="0"/>
              <w:rPr>
                <w:bCs/>
                <w:sz w:val="20"/>
                <w:szCs w:val="20"/>
              </w:rPr>
            </w:pPr>
            <w:r w:rsidRPr="00E1632D">
              <w:rPr>
                <w:bCs/>
                <w:sz w:val="20"/>
                <w:szCs w:val="20"/>
              </w:rPr>
              <w:t>PC; BSC; RPC; RBSC</w:t>
            </w:r>
          </w:p>
        </w:tc>
      </w:tr>
      <w:tr w:rsidR="00E1632D" w:rsidRPr="00E1632D" w14:paraId="444AF7BF" w14:textId="77777777" w:rsidTr="00E1632D">
        <w:trPr>
          <w:jc w:val="center"/>
        </w:trPr>
        <w:tc>
          <w:tcPr>
            <w:tcW w:w="0" w:type="auto"/>
            <w:shd w:val="clear" w:color="auto" w:fill="FFFFFF" w:themeFill="background1"/>
            <w:vAlign w:val="center"/>
            <w:hideMark/>
          </w:tcPr>
          <w:p w14:paraId="1066DA25" w14:textId="77777777" w:rsidR="00E1632D" w:rsidRPr="00E1632D" w:rsidRDefault="00E1632D" w:rsidP="005F1352">
            <w:pPr>
              <w:ind w:leftChars="0" w:left="0" w:firstLineChars="0" w:firstLine="0"/>
              <w:rPr>
                <w:bCs/>
                <w:sz w:val="20"/>
                <w:szCs w:val="20"/>
              </w:rPr>
            </w:pPr>
            <w:r w:rsidRPr="00E1632D">
              <w:rPr>
                <w:bCs/>
                <w:sz w:val="20"/>
                <w:szCs w:val="20"/>
              </w:rPr>
              <w:t>Jerman</w:t>
            </w:r>
          </w:p>
        </w:tc>
        <w:tc>
          <w:tcPr>
            <w:tcW w:w="2812" w:type="dxa"/>
            <w:shd w:val="clear" w:color="auto" w:fill="FFFFFF" w:themeFill="background1"/>
            <w:vAlign w:val="center"/>
            <w:hideMark/>
          </w:tcPr>
          <w:p w14:paraId="54CB79A5" w14:textId="77777777" w:rsidR="00E1632D" w:rsidRPr="00E1632D" w:rsidRDefault="00E1632D" w:rsidP="005F1352">
            <w:pPr>
              <w:ind w:leftChars="0" w:left="0" w:firstLineChars="0" w:firstLine="0"/>
              <w:rPr>
                <w:bCs/>
                <w:sz w:val="20"/>
                <w:szCs w:val="20"/>
              </w:rPr>
            </w:pPr>
            <w:r w:rsidRPr="00E1632D">
              <w:rPr>
                <w:bCs/>
                <w:sz w:val="20"/>
                <w:szCs w:val="20"/>
              </w:rPr>
              <w:t>PC; BSC; JP; RPC; RBSC</w:t>
            </w:r>
          </w:p>
        </w:tc>
        <w:tc>
          <w:tcPr>
            <w:tcW w:w="0" w:type="auto"/>
            <w:shd w:val="clear" w:color="auto" w:fill="FFFFFF" w:themeFill="background1"/>
            <w:vAlign w:val="center"/>
            <w:hideMark/>
          </w:tcPr>
          <w:p w14:paraId="1D0699FB" w14:textId="77777777" w:rsidR="00E1632D" w:rsidRPr="00E1632D" w:rsidRDefault="00E1632D" w:rsidP="005F1352">
            <w:pPr>
              <w:ind w:leftChars="0" w:left="0" w:firstLineChars="0" w:firstLine="0"/>
              <w:rPr>
                <w:bCs/>
                <w:sz w:val="20"/>
                <w:szCs w:val="20"/>
              </w:rPr>
            </w:pPr>
            <w:r w:rsidRPr="00E1632D">
              <w:rPr>
                <w:bCs/>
                <w:sz w:val="20"/>
                <w:szCs w:val="20"/>
              </w:rPr>
              <w:t>Swedia</w:t>
            </w:r>
          </w:p>
        </w:tc>
        <w:tc>
          <w:tcPr>
            <w:tcW w:w="2592" w:type="dxa"/>
            <w:shd w:val="clear" w:color="auto" w:fill="FFFFFF" w:themeFill="background1"/>
            <w:vAlign w:val="center"/>
            <w:hideMark/>
          </w:tcPr>
          <w:p w14:paraId="214DE4B0" w14:textId="77777777" w:rsidR="00E1632D" w:rsidRPr="00E1632D" w:rsidRDefault="00E1632D" w:rsidP="005F1352">
            <w:pPr>
              <w:ind w:leftChars="0" w:left="0" w:firstLineChars="0" w:firstLine="0"/>
              <w:rPr>
                <w:bCs/>
                <w:sz w:val="20"/>
                <w:szCs w:val="20"/>
              </w:rPr>
            </w:pPr>
            <w:r w:rsidRPr="00E1632D">
              <w:rPr>
                <w:bCs/>
                <w:sz w:val="20"/>
                <w:szCs w:val="20"/>
              </w:rPr>
              <w:t>PC; BSC; JP; RPC; RBSC</w:t>
            </w:r>
          </w:p>
        </w:tc>
      </w:tr>
      <w:tr w:rsidR="00E1632D" w:rsidRPr="00E1632D" w14:paraId="73C703BD" w14:textId="77777777" w:rsidTr="00E1632D">
        <w:trPr>
          <w:jc w:val="center"/>
        </w:trPr>
        <w:tc>
          <w:tcPr>
            <w:tcW w:w="0" w:type="auto"/>
            <w:shd w:val="clear" w:color="auto" w:fill="FFFFFF" w:themeFill="background1"/>
            <w:vAlign w:val="center"/>
            <w:hideMark/>
          </w:tcPr>
          <w:p w14:paraId="0B0F42FD" w14:textId="77777777" w:rsidR="00E1632D" w:rsidRPr="00E1632D" w:rsidRDefault="00E1632D" w:rsidP="005F1352">
            <w:pPr>
              <w:ind w:leftChars="0" w:left="0" w:firstLineChars="0" w:firstLine="0"/>
              <w:rPr>
                <w:bCs/>
                <w:sz w:val="20"/>
                <w:szCs w:val="20"/>
              </w:rPr>
            </w:pPr>
            <w:r w:rsidRPr="00E1632D">
              <w:rPr>
                <w:bCs/>
                <w:sz w:val="20"/>
                <w:szCs w:val="20"/>
              </w:rPr>
              <w:t>Hungaria</w:t>
            </w:r>
          </w:p>
        </w:tc>
        <w:tc>
          <w:tcPr>
            <w:tcW w:w="2812" w:type="dxa"/>
            <w:shd w:val="clear" w:color="auto" w:fill="FFFFFF" w:themeFill="background1"/>
            <w:vAlign w:val="center"/>
            <w:hideMark/>
          </w:tcPr>
          <w:p w14:paraId="6389AD43" w14:textId="77777777" w:rsidR="00E1632D" w:rsidRPr="00E1632D" w:rsidRDefault="00E1632D" w:rsidP="005F1352">
            <w:pPr>
              <w:ind w:leftChars="0" w:left="0" w:firstLineChars="0" w:firstLine="0"/>
              <w:rPr>
                <w:bCs/>
                <w:sz w:val="20"/>
                <w:szCs w:val="20"/>
              </w:rPr>
            </w:pPr>
            <w:r w:rsidRPr="00E1632D">
              <w:rPr>
                <w:bCs/>
                <w:sz w:val="20"/>
                <w:szCs w:val="20"/>
              </w:rPr>
              <w:t>VC; JP</w:t>
            </w:r>
          </w:p>
        </w:tc>
        <w:tc>
          <w:tcPr>
            <w:tcW w:w="0" w:type="auto"/>
            <w:shd w:val="clear" w:color="auto" w:fill="FFFFFF" w:themeFill="background1"/>
            <w:vAlign w:val="center"/>
            <w:hideMark/>
          </w:tcPr>
          <w:p w14:paraId="33C8DCE0" w14:textId="77777777" w:rsidR="00E1632D" w:rsidRPr="00E1632D" w:rsidRDefault="00E1632D" w:rsidP="005F1352">
            <w:pPr>
              <w:ind w:leftChars="0" w:left="0" w:firstLineChars="0" w:firstLine="0"/>
              <w:rPr>
                <w:bCs/>
                <w:sz w:val="20"/>
                <w:szCs w:val="20"/>
              </w:rPr>
            </w:pPr>
            <w:r w:rsidRPr="00E1632D">
              <w:rPr>
                <w:bCs/>
                <w:sz w:val="20"/>
                <w:szCs w:val="20"/>
              </w:rPr>
              <w:t>Swiss</w:t>
            </w:r>
          </w:p>
        </w:tc>
        <w:tc>
          <w:tcPr>
            <w:tcW w:w="2592" w:type="dxa"/>
            <w:shd w:val="clear" w:color="auto" w:fill="FFFFFF" w:themeFill="background1"/>
            <w:vAlign w:val="center"/>
            <w:hideMark/>
          </w:tcPr>
          <w:p w14:paraId="3BCE48AE" w14:textId="77777777" w:rsidR="00E1632D" w:rsidRPr="00E1632D" w:rsidRDefault="00E1632D" w:rsidP="005F1352">
            <w:pPr>
              <w:ind w:leftChars="0" w:left="0" w:firstLineChars="0" w:firstLine="0"/>
              <w:rPr>
                <w:bCs/>
                <w:sz w:val="20"/>
                <w:szCs w:val="20"/>
              </w:rPr>
            </w:pPr>
            <w:r w:rsidRPr="00E1632D">
              <w:rPr>
                <w:bCs/>
                <w:sz w:val="20"/>
                <w:szCs w:val="20"/>
              </w:rPr>
              <w:t>PC; RPC; BSC; RBSC</w:t>
            </w:r>
          </w:p>
        </w:tc>
      </w:tr>
      <w:tr w:rsidR="00E1632D" w:rsidRPr="00E1632D" w14:paraId="0AFBEEDC" w14:textId="77777777" w:rsidTr="00E1632D">
        <w:trPr>
          <w:jc w:val="center"/>
        </w:trPr>
        <w:tc>
          <w:tcPr>
            <w:tcW w:w="0" w:type="auto"/>
            <w:shd w:val="clear" w:color="auto" w:fill="FFFFFF" w:themeFill="background1"/>
            <w:vAlign w:val="center"/>
            <w:hideMark/>
          </w:tcPr>
          <w:p w14:paraId="34E76345" w14:textId="77777777" w:rsidR="00E1632D" w:rsidRPr="00E1632D" w:rsidRDefault="00E1632D" w:rsidP="005F1352">
            <w:pPr>
              <w:ind w:leftChars="0" w:left="0" w:firstLineChars="0" w:firstLine="0"/>
              <w:rPr>
                <w:bCs/>
                <w:sz w:val="20"/>
                <w:szCs w:val="20"/>
              </w:rPr>
            </w:pPr>
            <w:r w:rsidRPr="00E1632D">
              <w:rPr>
                <w:bCs/>
                <w:sz w:val="20"/>
                <w:szCs w:val="20"/>
              </w:rPr>
              <w:t>India</w:t>
            </w:r>
          </w:p>
        </w:tc>
        <w:tc>
          <w:tcPr>
            <w:tcW w:w="2812" w:type="dxa"/>
            <w:shd w:val="clear" w:color="auto" w:fill="FFFFFF" w:themeFill="background1"/>
            <w:vAlign w:val="center"/>
            <w:hideMark/>
          </w:tcPr>
          <w:p w14:paraId="2BD8206A" w14:textId="77777777" w:rsidR="00E1632D" w:rsidRPr="00E1632D" w:rsidRDefault="00E1632D" w:rsidP="005F1352">
            <w:pPr>
              <w:ind w:leftChars="0" w:left="0" w:firstLineChars="0" w:firstLine="0"/>
              <w:rPr>
                <w:bCs/>
                <w:sz w:val="20"/>
                <w:szCs w:val="20"/>
              </w:rPr>
            </w:pPr>
            <w:r w:rsidRPr="00E1632D">
              <w:rPr>
                <w:bCs/>
                <w:sz w:val="20"/>
                <w:szCs w:val="20"/>
              </w:rPr>
              <w:t>CSC*</w:t>
            </w:r>
          </w:p>
        </w:tc>
        <w:tc>
          <w:tcPr>
            <w:tcW w:w="0" w:type="auto"/>
            <w:shd w:val="clear" w:color="auto" w:fill="FFFFFF" w:themeFill="background1"/>
            <w:vAlign w:val="center"/>
            <w:hideMark/>
          </w:tcPr>
          <w:p w14:paraId="1D604DE3" w14:textId="77777777" w:rsidR="00E1632D" w:rsidRPr="00E1632D" w:rsidRDefault="00E1632D" w:rsidP="005F1352">
            <w:pPr>
              <w:ind w:leftChars="0" w:left="0" w:firstLineChars="0" w:firstLine="0"/>
              <w:rPr>
                <w:bCs/>
                <w:sz w:val="20"/>
                <w:szCs w:val="20"/>
              </w:rPr>
            </w:pPr>
            <w:r w:rsidRPr="00E1632D">
              <w:rPr>
                <w:bCs/>
                <w:sz w:val="20"/>
                <w:szCs w:val="20"/>
              </w:rPr>
              <w:t>Taiwan</w:t>
            </w:r>
          </w:p>
        </w:tc>
        <w:tc>
          <w:tcPr>
            <w:tcW w:w="2592" w:type="dxa"/>
            <w:shd w:val="clear" w:color="auto" w:fill="FFFFFF" w:themeFill="background1"/>
            <w:vAlign w:val="center"/>
            <w:hideMark/>
          </w:tcPr>
          <w:p w14:paraId="1298CCF8" w14:textId="77777777" w:rsidR="00E1632D" w:rsidRPr="00E1632D" w:rsidRDefault="00E1632D" w:rsidP="005F1352">
            <w:pPr>
              <w:ind w:leftChars="0" w:left="0" w:firstLineChars="0" w:firstLine="0"/>
              <w:rPr>
                <w:bCs/>
                <w:sz w:val="20"/>
                <w:szCs w:val="20"/>
              </w:rPr>
            </w:pPr>
            <w:r w:rsidRPr="00E1632D">
              <w:rPr>
                <w:bCs/>
                <w:sz w:val="20"/>
                <w:szCs w:val="20"/>
              </w:rPr>
              <w:t> </w:t>
            </w:r>
          </w:p>
        </w:tc>
      </w:tr>
      <w:tr w:rsidR="00E1632D" w:rsidRPr="00E1632D" w14:paraId="32958D33" w14:textId="77777777" w:rsidTr="00E1632D">
        <w:trPr>
          <w:jc w:val="center"/>
        </w:trPr>
        <w:tc>
          <w:tcPr>
            <w:tcW w:w="0" w:type="auto"/>
            <w:shd w:val="clear" w:color="auto" w:fill="FFFFFF" w:themeFill="background1"/>
            <w:vAlign w:val="center"/>
            <w:hideMark/>
          </w:tcPr>
          <w:p w14:paraId="7E071A33" w14:textId="77777777" w:rsidR="00E1632D" w:rsidRPr="00E1632D" w:rsidRDefault="00E1632D" w:rsidP="005F1352">
            <w:pPr>
              <w:ind w:leftChars="0" w:left="0" w:firstLineChars="0" w:firstLine="0"/>
              <w:rPr>
                <w:bCs/>
                <w:sz w:val="20"/>
                <w:szCs w:val="20"/>
              </w:rPr>
            </w:pPr>
            <w:r w:rsidRPr="00E1632D">
              <w:rPr>
                <w:bCs/>
                <w:sz w:val="20"/>
                <w:szCs w:val="20"/>
              </w:rPr>
              <w:lastRenderedPageBreak/>
              <w:t>Iran</w:t>
            </w:r>
          </w:p>
        </w:tc>
        <w:tc>
          <w:tcPr>
            <w:tcW w:w="2812" w:type="dxa"/>
            <w:shd w:val="clear" w:color="auto" w:fill="FFFFFF" w:themeFill="background1"/>
            <w:vAlign w:val="center"/>
            <w:hideMark/>
          </w:tcPr>
          <w:p w14:paraId="71852424" w14:textId="77777777" w:rsidR="00E1632D" w:rsidRPr="00E1632D" w:rsidRDefault="00E1632D" w:rsidP="005F1352">
            <w:pPr>
              <w:ind w:leftChars="0" w:left="0" w:firstLineChars="0" w:firstLine="0"/>
              <w:rPr>
                <w:bCs/>
                <w:sz w:val="20"/>
                <w:szCs w:val="20"/>
              </w:rPr>
            </w:pPr>
            <w:r w:rsidRPr="00E1632D">
              <w:rPr>
                <w:bCs/>
                <w:sz w:val="20"/>
                <w:szCs w:val="20"/>
              </w:rPr>
              <w:t> </w:t>
            </w:r>
          </w:p>
        </w:tc>
        <w:tc>
          <w:tcPr>
            <w:tcW w:w="0" w:type="auto"/>
            <w:shd w:val="clear" w:color="auto" w:fill="FFFFFF" w:themeFill="background1"/>
            <w:vAlign w:val="center"/>
            <w:hideMark/>
          </w:tcPr>
          <w:p w14:paraId="1BC85E9C" w14:textId="77777777" w:rsidR="00E1632D" w:rsidRPr="00E1632D" w:rsidRDefault="00E1632D" w:rsidP="005F1352">
            <w:pPr>
              <w:ind w:leftChars="0" w:left="0" w:firstLineChars="0" w:firstLine="0"/>
              <w:rPr>
                <w:bCs/>
                <w:sz w:val="20"/>
                <w:szCs w:val="20"/>
              </w:rPr>
            </w:pPr>
            <w:r w:rsidRPr="00E1632D">
              <w:rPr>
                <w:bCs/>
                <w:sz w:val="20"/>
                <w:szCs w:val="20"/>
              </w:rPr>
              <w:t>Ukraina</w:t>
            </w:r>
          </w:p>
        </w:tc>
        <w:tc>
          <w:tcPr>
            <w:tcW w:w="2592" w:type="dxa"/>
            <w:shd w:val="clear" w:color="auto" w:fill="FFFFFF" w:themeFill="background1"/>
            <w:vAlign w:val="center"/>
            <w:hideMark/>
          </w:tcPr>
          <w:p w14:paraId="70E23EF1" w14:textId="77777777" w:rsidR="00E1632D" w:rsidRPr="00E1632D" w:rsidRDefault="00E1632D" w:rsidP="005F1352">
            <w:pPr>
              <w:ind w:leftChars="0" w:left="0" w:firstLineChars="0" w:firstLine="0"/>
              <w:rPr>
                <w:bCs/>
                <w:sz w:val="20"/>
                <w:szCs w:val="20"/>
              </w:rPr>
            </w:pPr>
            <w:r w:rsidRPr="00E1632D">
              <w:rPr>
                <w:bCs/>
                <w:sz w:val="20"/>
                <w:szCs w:val="20"/>
              </w:rPr>
              <w:t>VC; JP</w:t>
            </w:r>
          </w:p>
        </w:tc>
      </w:tr>
      <w:tr w:rsidR="00E1632D" w:rsidRPr="00E1632D" w14:paraId="51594E94" w14:textId="77777777" w:rsidTr="00E1632D">
        <w:trPr>
          <w:jc w:val="center"/>
        </w:trPr>
        <w:tc>
          <w:tcPr>
            <w:tcW w:w="0" w:type="auto"/>
            <w:shd w:val="clear" w:color="auto" w:fill="FFFFFF" w:themeFill="background1"/>
            <w:vAlign w:val="center"/>
            <w:hideMark/>
          </w:tcPr>
          <w:p w14:paraId="2E56BBDD" w14:textId="77777777" w:rsidR="00E1632D" w:rsidRPr="00E1632D" w:rsidRDefault="00E1632D" w:rsidP="005F1352">
            <w:pPr>
              <w:ind w:leftChars="0" w:left="0" w:firstLineChars="0" w:firstLine="0"/>
              <w:rPr>
                <w:bCs/>
                <w:sz w:val="20"/>
                <w:szCs w:val="20"/>
              </w:rPr>
            </w:pPr>
            <w:r w:rsidRPr="00E1632D">
              <w:rPr>
                <w:bCs/>
                <w:sz w:val="20"/>
                <w:szCs w:val="20"/>
              </w:rPr>
              <w:t>Jepang</w:t>
            </w:r>
          </w:p>
        </w:tc>
        <w:tc>
          <w:tcPr>
            <w:tcW w:w="2812" w:type="dxa"/>
            <w:shd w:val="clear" w:color="auto" w:fill="FFFFFF" w:themeFill="background1"/>
            <w:vAlign w:val="center"/>
            <w:hideMark/>
          </w:tcPr>
          <w:p w14:paraId="5071DB0F" w14:textId="77777777" w:rsidR="00E1632D" w:rsidRPr="00E1632D" w:rsidRDefault="00E1632D" w:rsidP="005F1352">
            <w:pPr>
              <w:ind w:leftChars="0" w:left="0" w:firstLineChars="0" w:firstLine="0"/>
              <w:rPr>
                <w:bCs/>
                <w:sz w:val="20"/>
                <w:szCs w:val="20"/>
              </w:rPr>
            </w:pPr>
            <w:r w:rsidRPr="00E1632D">
              <w:rPr>
                <w:bCs/>
                <w:sz w:val="20"/>
                <w:szCs w:val="20"/>
              </w:rPr>
              <w:t> </w:t>
            </w:r>
          </w:p>
        </w:tc>
        <w:tc>
          <w:tcPr>
            <w:tcW w:w="0" w:type="auto"/>
            <w:shd w:val="clear" w:color="auto" w:fill="FFFFFF" w:themeFill="background1"/>
            <w:vAlign w:val="center"/>
            <w:hideMark/>
          </w:tcPr>
          <w:p w14:paraId="3AEDBD1E" w14:textId="77777777" w:rsidR="00E1632D" w:rsidRPr="00E1632D" w:rsidRDefault="00E1632D" w:rsidP="005F1352">
            <w:pPr>
              <w:ind w:leftChars="0" w:left="0" w:firstLineChars="0" w:firstLine="0"/>
              <w:rPr>
                <w:bCs/>
                <w:sz w:val="20"/>
                <w:szCs w:val="20"/>
              </w:rPr>
            </w:pPr>
            <w:r w:rsidRPr="00E1632D">
              <w:rPr>
                <w:bCs/>
                <w:sz w:val="20"/>
                <w:szCs w:val="20"/>
              </w:rPr>
              <w:t>Uni Emirat Arab</w:t>
            </w:r>
          </w:p>
        </w:tc>
        <w:tc>
          <w:tcPr>
            <w:tcW w:w="2592" w:type="dxa"/>
            <w:shd w:val="clear" w:color="auto" w:fill="FFFFFF" w:themeFill="background1"/>
            <w:vAlign w:val="center"/>
            <w:hideMark/>
          </w:tcPr>
          <w:p w14:paraId="4D7D0C9A" w14:textId="77777777" w:rsidR="00E1632D" w:rsidRPr="00E1632D" w:rsidRDefault="00E1632D" w:rsidP="005F1352">
            <w:pPr>
              <w:ind w:leftChars="0" w:left="0" w:firstLineChars="0" w:firstLine="0"/>
              <w:rPr>
                <w:bCs/>
                <w:sz w:val="20"/>
                <w:szCs w:val="20"/>
              </w:rPr>
            </w:pPr>
            <w:r w:rsidRPr="00E1632D">
              <w:rPr>
                <w:bCs/>
                <w:sz w:val="20"/>
                <w:szCs w:val="20"/>
              </w:rPr>
              <w:t>RVC</w:t>
            </w:r>
          </w:p>
        </w:tc>
      </w:tr>
      <w:tr w:rsidR="00E1632D" w:rsidRPr="00E1632D" w14:paraId="08639A1A" w14:textId="77777777" w:rsidTr="00E1632D">
        <w:trPr>
          <w:jc w:val="center"/>
        </w:trPr>
        <w:tc>
          <w:tcPr>
            <w:tcW w:w="0" w:type="auto"/>
            <w:shd w:val="clear" w:color="auto" w:fill="FFFFFF" w:themeFill="background1"/>
            <w:vAlign w:val="center"/>
            <w:hideMark/>
          </w:tcPr>
          <w:p w14:paraId="6A286D6A" w14:textId="77777777" w:rsidR="00E1632D" w:rsidRPr="00E1632D" w:rsidRDefault="00E1632D" w:rsidP="005F1352">
            <w:pPr>
              <w:ind w:leftChars="0" w:left="0" w:firstLineChars="0" w:firstLine="0"/>
              <w:rPr>
                <w:bCs/>
                <w:sz w:val="20"/>
                <w:szCs w:val="20"/>
              </w:rPr>
            </w:pPr>
            <w:r w:rsidRPr="00E1632D">
              <w:rPr>
                <w:bCs/>
                <w:sz w:val="20"/>
                <w:szCs w:val="20"/>
              </w:rPr>
              <w:t>Kazakstan</w:t>
            </w:r>
          </w:p>
        </w:tc>
        <w:tc>
          <w:tcPr>
            <w:tcW w:w="2812" w:type="dxa"/>
            <w:shd w:val="clear" w:color="auto" w:fill="FFFFFF" w:themeFill="background1"/>
            <w:vAlign w:val="center"/>
            <w:hideMark/>
          </w:tcPr>
          <w:p w14:paraId="2BFA59B2" w14:textId="77777777" w:rsidR="00E1632D" w:rsidRPr="00E1632D" w:rsidRDefault="00E1632D" w:rsidP="005F1352">
            <w:pPr>
              <w:ind w:leftChars="0" w:left="0" w:firstLineChars="0" w:firstLine="0"/>
              <w:rPr>
                <w:bCs/>
                <w:sz w:val="20"/>
                <w:szCs w:val="20"/>
              </w:rPr>
            </w:pPr>
            <w:r w:rsidRPr="00E1632D">
              <w:rPr>
                <w:bCs/>
                <w:sz w:val="20"/>
                <w:szCs w:val="20"/>
              </w:rPr>
              <w:t>RVC</w:t>
            </w:r>
          </w:p>
        </w:tc>
        <w:tc>
          <w:tcPr>
            <w:tcW w:w="0" w:type="auto"/>
            <w:shd w:val="clear" w:color="auto" w:fill="FFFFFF" w:themeFill="background1"/>
            <w:vAlign w:val="center"/>
            <w:hideMark/>
          </w:tcPr>
          <w:p w14:paraId="3E4FC181" w14:textId="77777777" w:rsidR="00E1632D" w:rsidRPr="00E1632D" w:rsidRDefault="00E1632D" w:rsidP="005F1352">
            <w:pPr>
              <w:ind w:leftChars="0" w:left="0" w:firstLineChars="0" w:firstLine="0"/>
              <w:rPr>
                <w:bCs/>
                <w:sz w:val="20"/>
                <w:szCs w:val="20"/>
              </w:rPr>
            </w:pPr>
            <w:r w:rsidRPr="00E1632D">
              <w:rPr>
                <w:bCs/>
                <w:sz w:val="20"/>
                <w:szCs w:val="20"/>
              </w:rPr>
              <w:t>Britania Raya</w:t>
            </w:r>
          </w:p>
        </w:tc>
        <w:tc>
          <w:tcPr>
            <w:tcW w:w="2592" w:type="dxa"/>
            <w:shd w:val="clear" w:color="auto" w:fill="FFFFFF" w:themeFill="background1"/>
            <w:vAlign w:val="center"/>
            <w:hideMark/>
          </w:tcPr>
          <w:p w14:paraId="14BF426A" w14:textId="77777777" w:rsidR="00E1632D" w:rsidRPr="00E1632D" w:rsidRDefault="00E1632D" w:rsidP="005F1352">
            <w:pPr>
              <w:ind w:leftChars="0" w:left="0" w:firstLineChars="0" w:firstLine="0"/>
              <w:rPr>
                <w:bCs/>
                <w:sz w:val="20"/>
                <w:szCs w:val="20"/>
              </w:rPr>
            </w:pPr>
            <w:r w:rsidRPr="00E1632D">
              <w:rPr>
                <w:bCs/>
                <w:sz w:val="20"/>
                <w:szCs w:val="20"/>
              </w:rPr>
              <w:t>PC; BSC; RPC; RBSC</w:t>
            </w:r>
          </w:p>
        </w:tc>
      </w:tr>
      <w:tr w:rsidR="00E1632D" w:rsidRPr="00E1632D" w14:paraId="467D798B" w14:textId="77777777" w:rsidTr="00E1632D">
        <w:trPr>
          <w:jc w:val="center"/>
        </w:trPr>
        <w:tc>
          <w:tcPr>
            <w:tcW w:w="0" w:type="auto"/>
            <w:shd w:val="clear" w:color="auto" w:fill="FFFFFF" w:themeFill="background1"/>
            <w:vAlign w:val="center"/>
            <w:hideMark/>
          </w:tcPr>
          <w:p w14:paraId="701B96C2" w14:textId="77777777" w:rsidR="00E1632D" w:rsidRPr="00E1632D" w:rsidRDefault="00E1632D" w:rsidP="005F1352">
            <w:pPr>
              <w:ind w:leftChars="0" w:left="0" w:firstLineChars="0" w:firstLine="0"/>
              <w:rPr>
                <w:bCs/>
                <w:sz w:val="20"/>
                <w:szCs w:val="20"/>
              </w:rPr>
            </w:pPr>
            <w:r w:rsidRPr="00E1632D">
              <w:rPr>
                <w:bCs/>
                <w:sz w:val="20"/>
                <w:szCs w:val="20"/>
              </w:rPr>
              <w:t>Korea</w:t>
            </w:r>
          </w:p>
        </w:tc>
        <w:tc>
          <w:tcPr>
            <w:tcW w:w="2812" w:type="dxa"/>
            <w:shd w:val="clear" w:color="auto" w:fill="FFFFFF" w:themeFill="background1"/>
            <w:vAlign w:val="center"/>
            <w:hideMark/>
          </w:tcPr>
          <w:p w14:paraId="6D737CF8" w14:textId="77777777" w:rsidR="00E1632D" w:rsidRPr="00E1632D" w:rsidRDefault="00E1632D" w:rsidP="005F1352">
            <w:pPr>
              <w:ind w:leftChars="0" w:left="0" w:firstLineChars="0" w:firstLine="0"/>
              <w:rPr>
                <w:bCs/>
                <w:sz w:val="20"/>
                <w:szCs w:val="20"/>
              </w:rPr>
            </w:pPr>
            <w:r w:rsidRPr="00E1632D">
              <w:rPr>
                <w:bCs/>
                <w:sz w:val="20"/>
                <w:szCs w:val="20"/>
              </w:rPr>
              <w:t> </w:t>
            </w:r>
          </w:p>
        </w:tc>
        <w:tc>
          <w:tcPr>
            <w:tcW w:w="0" w:type="auto"/>
            <w:shd w:val="clear" w:color="auto" w:fill="FFFFFF" w:themeFill="background1"/>
            <w:vAlign w:val="center"/>
            <w:hideMark/>
          </w:tcPr>
          <w:p w14:paraId="028E36E6" w14:textId="77777777" w:rsidR="00E1632D" w:rsidRPr="00E1632D" w:rsidRDefault="00E1632D" w:rsidP="005F1352">
            <w:pPr>
              <w:ind w:leftChars="0" w:left="0" w:firstLineChars="0" w:firstLine="0"/>
              <w:rPr>
                <w:bCs/>
                <w:sz w:val="20"/>
                <w:szCs w:val="20"/>
              </w:rPr>
            </w:pPr>
            <w:r w:rsidRPr="00E1632D">
              <w:rPr>
                <w:bCs/>
                <w:sz w:val="20"/>
                <w:szCs w:val="20"/>
              </w:rPr>
              <w:t xml:space="preserve">Amerika </w:t>
            </w:r>
          </w:p>
        </w:tc>
        <w:tc>
          <w:tcPr>
            <w:tcW w:w="2592" w:type="dxa"/>
            <w:shd w:val="clear" w:color="auto" w:fill="FFFFFF" w:themeFill="background1"/>
            <w:vAlign w:val="center"/>
            <w:hideMark/>
          </w:tcPr>
          <w:p w14:paraId="24DCD253" w14:textId="77777777" w:rsidR="00E1632D" w:rsidRPr="00E1632D" w:rsidRDefault="00E1632D" w:rsidP="005F1352">
            <w:pPr>
              <w:ind w:leftChars="0" w:left="0" w:firstLineChars="0" w:firstLine="0"/>
              <w:rPr>
                <w:bCs/>
                <w:sz w:val="20"/>
                <w:szCs w:val="20"/>
              </w:rPr>
            </w:pPr>
            <w:r w:rsidRPr="00E1632D">
              <w:rPr>
                <w:bCs/>
                <w:sz w:val="20"/>
                <w:szCs w:val="20"/>
              </w:rPr>
              <w:t>CSC</w:t>
            </w:r>
          </w:p>
        </w:tc>
      </w:tr>
    </w:tbl>
    <w:p w14:paraId="4335E371" w14:textId="77777777" w:rsidR="00E1632D" w:rsidRDefault="00E1632D" w:rsidP="00E1632D">
      <w:pPr>
        <w:spacing w:after="0" w:line="240" w:lineRule="auto"/>
        <w:ind w:leftChars="0" w:left="0" w:firstLineChars="0" w:firstLine="567"/>
        <w:rPr>
          <w:b/>
          <w:bCs/>
          <w:sz w:val="20"/>
          <w:szCs w:val="18"/>
        </w:rPr>
      </w:pPr>
    </w:p>
    <w:p w14:paraId="3D2A8367" w14:textId="149E4992" w:rsidR="00E1632D" w:rsidRPr="00E1632D" w:rsidRDefault="00E1632D" w:rsidP="00E1632D">
      <w:pPr>
        <w:spacing w:after="0" w:line="240" w:lineRule="auto"/>
        <w:ind w:leftChars="0" w:firstLineChars="0" w:firstLine="0"/>
        <w:rPr>
          <w:b/>
          <w:bCs/>
        </w:rPr>
      </w:pPr>
      <w:r w:rsidRPr="00E1632D">
        <w:rPr>
          <w:b/>
          <w:bCs/>
        </w:rPr>
        <w:t>Pengaturan penggunaan energi Nuklir dan kesesuaiannya dengan perlindungan lingkungan</w:t>
      </w:r>
    </w:p>
    <w:p w14:paraId="22FFE295" w14:textId="77777777" w:rsidR="00E1632D" w:rsidRDefault="00E1632D" w:rsidP="00E1632D">
      <w:pPr>
        <w:spacing w:after="0" w:line="240" w:lineRule="auto"/>
        <w:ind w:leftChars="0" w:firstLineChars="0" w:firstLine="567"/>
      </w:pPr>
      <w:r>
        <w:t>Dalam kerangka hukum internasional, diantara banyaknya perjanjian dan peratutan internasional terakit nuklir yang telah di bahas di atas, ada beberapa peraturan dan mekanisme yang mengatur penggunaan energi nuklir dengan tujuan perlindungan lingkungan:</w:t>
      </w:r>
    </w:p>
    <w:p w14:paraId="4DA431A4" w14:textId="77777777" w:rsidR="00E1632D" w:rsidRDefault="00E1632D" w:rsidP="00E1632D">
      <w:pPr>
        <w:spacing w:after="0" w:line="240" w:lineRule="auto"/>
        <w:ind w:leftChars="0" w:left="851" w:firstLineChars="0" w:hanging="284"/>
      </w:pPr>
      <w:r>
        <w:t>1.</w:t>
      </w:r>
      <w:r>
        <w:tab/>
        <w:t>Traktat Non-Proliferasi Nuklir (NPT): NPT adalah perjanjian internasional yang bertujuan untuk mencegah penyebaran senjata nuklir dan mempromosikan penggunaan energi nuklir untuk tujuan damai. Meskipun NPT tidak secara langsung membahas perlindungan lingkungan, mengurangi risiko penyebaran senjata nuklir juga memiliki dampak positif terhadap keamanan lingkungan.</w:t>
      </w:r>
    </w:p>
    <w:p w14:paraId="2F112D4E" w14:textId="77777777" w:rsidR="00E1632D" w:rsidRDefault="00E1632D" w:rsidP="00E1632D">
      <w:pPr>
        <w:spacing w:after="0" w:line="240" w:lineRule="auto"/>
        <w:ind w:leftChars="0" w:left="851" w:firstLineChars="0" w:hanging="284"/>
      </w:pPr>
      <w:r>
        <w:t>2.</w:t>
      </w:r>
      <w:r>
        <w:tab/>
        <w:t>Badan Energi Atom Internasional (IAEA): IAEA merupakan badan PBB yang bertanggung jawab atas pengawasan dan pengendalian teknologi nuklir. Salah satu fokus utamanya adalah memastikan penggunaan energi nuklir untuk tujuan damai dan mencegah penyebaran senjata nuklir. IAEA juga terlibat dalam pemantauan dan evaluasi dampak lingkungan dari kegiatan nuklir.</w:t>
      </w:r>
    </w:p>
    <w:p w14:paraId="4103E32D" w14:textId="77777777" w:rsidR="00E1632D" w:rsidRDefault="00E1632D" w:rsidP="00E1632D">
      <w:pPr>
        <w:spacing w:after="0" w:line="240" w:lineRule="auto"/>
        <w:ind w:leftChars="0" w:left="851" w:firstLineChars="0" w:hanging="284"/>
      </w:pPr>
      <w:r>
        <w:t>3.</w:t>
      </w:r>
      <w:r>
        <w:tab/>
        <w:t>Konvensi Keselamatan Nuklir: Konvensi Keselamatan Nuklir, yang dikelola oleh IAEA, mengatur standar internasional untuk keselamatan penggunaan energi nuklir. Ini mencakup perlindungan terhadap paparan radiasi, perlindungan terhadap kecelakaan nuklir, manajemen limbah radioaktif, dan pengamanan bahan-bahan nuklir.</w:t>
      </w:r>
    </w:p>
    <w:p w14:paraId="4D2F0705" w14:textId="77777777" w:rsidR="00E1632D" w:rsidRDefault="00E1632D" w:rsidP="00E1632D">
      <w:pPr>
        <w:spacing w:after="0" w:line="240" w:lineRule="auto"/>
        <w:ind w:leftChars="0" w:left="851" w:firstLineChars="0" w:hanging="284"/>
      </w:pPr>
      <w:r>
        <w:t>4.</w:t>
      </w:r>
      <w:r>
        <w:tab/>
        <w:t>Protokol Kualitas Lingkungan IAEA: Protokol ini memberikan panduan kepada negara-negara anggota dalam menilai dampak lingkungan dari kegiatan nuklir. Ini mencakup evaluasi dampak lingkungan sebelum pembangunan fasilitas nuklir, pemantauan lingkungan selama operasi, dan penanganan limbah radioaktif.</w:t>
      </w:r>
    </w:p>
    <w:p w14:paraId="202D2435" w14:textId="77777777" w:rsidR="00E1632D" w:rsidRDefault="00E1632D" w:rsidP="00E1632D">
      <w:pPr>
        <w:spacing w:after="0" w:line="240" w:lineRule="auto"/>
        <w:ind w:leftChars="0" w:left="851" w:firstLineChars="0" w:hanging="284"/>
      </w:pPr>
      <w:r>
        <w:t>5.</w:t>
      </w:r>
      <w:r>
        <w:tab/>
        <w:t>Perjanjian Lingkungan Global: Selain perjanjian yang secara khusus mengatur energi nuklir, ada juga perjanjian lingkungan global yang memiliki implikasi terhadap penggunaan energi nuklir. Contohnya adalah Perjanjian Kerangka Perubahan Iklim Perserikatan Bangsa-Bangsa (UNFCCC) yang bertujuan untuk mengurangi emisi gas rumah kaca, yang bisa memengaruhi kebijakan energi nuklir di beberapa negara.</w:t>
      </w:r>
    </w:p>
    <w:p w14:paraId="7ED2D37A" w14:textId="77777777" w:rsidR="00E1632D" w:rsidRDefault="00E1632D" w:rsidP="00E1632D">
      <w:pPr>
        <w:spacing w:after="0" w:line="240" w:lineRule="auto"/>
        <w:ind w:leftChars="0" w:firstLineChars="0" w:firstLine="567"/>
      </w:pPr>
      <w:r>
        <w:t xml:space="preserve">Faktor yang akan selalu menjadi pengingat yaitu akibat dari Peristiwa chernobyl dimana Puluhan ribu kilometer persegi lahan pertanian terkontaminasi radiasi dan sejumlah besar produk makanan, terutama produk susu, harus dihancurkan. Larangan atau pembatasan ditempatkan pada produksi dan penjualan produk pertanian tertentu lainnya dan bahkan saat ini ada beberapa ribu kilometer persegi tanah di mana kegiatan pertanian dilarang. Aktivitas yang diangkut oleh beberapa buru dari Chernobyl tidak hanya diukur di seluruh Eropa, tetapi juga di Kanada, Jepang dan Amerika Serikat, meskipun dampak radiologis dari kecelakaan di negara-negara lain ini umumnya sangat rendah atau bahkan tidak signifikan. Apa yang signifikan, bagaimanapun, adalah realisasi serius sejauh mana kecelakaan nuklir besar dapat memiliki implikasi lintas batas, mempengaruhi negara-negara yang cukup jauh dari lokasi kecelakaan. Sama seriusnya adalah realisasi biaya kerusakan yang terjadi, baik pada tingkat individu dan masyarakat - biaya yang dihasilkan dari hilangnya nyawa, cedera pribadi dan penyakit termasuk efek dari stres psikologis dan masalah kesehatan mental lainnya, kerusakan properti, kerugian ekonomi, kerusakan lingkungan dan gangguan sosial-ekonomi lainnya. Kisaran kerusakan yang diderita tampaknya hampir tidak terbatas. Tidak ada angka pasti yang tersedia, tetapi biaya </w:t>
      </w:r>
      <w:r>
        <w:lastRenderedPageBreak/>
        <w:t xml:space="preserve">kecelakaan selama dua dekade terakhir diperkirakan telah meningkat ke tingkat ratusan miliar dolar. </w:t>
      </w:r>
    </w:p>
    <w:p w14:paraId="7907E16F" w14:textId="77777777" w:rsidR="00E1632D" w:rsidRDefault="00E1632D" w:rsidP="00E1632D">
      <w:pPr>
        <w:spacing w:after="0" w:line="240" w:lineRule="auto"/>
        <w:ind w:leftChars="0" w:firstLineChars="0" w:firstLine="567"/>
      </w:pPr>
      <w:r>
        <w:t xml:space="preserve">Energi nuklir telah menjadi topik yang kontroversial dalam diskusi global tentang keberlanjutan energi dan perlindungan lingkungan. Dalam konteks hukum internasional, regulasi penggunaan energi nuklir dan upaya untuk memastikan kesesuaiannya dengan perlindungan lingkungan menjadi perhatian utama bagi komunitas internasional. </w:t>
      </w:r>
    </w:p>
    <w:p w14:paraId="3E6051BD" w14:textId="77777777" w:rsidR="00E1632D" w:rsidRDefault="00E1632D" w:rsidP="00E1632D">
      <w:pPr>
        <w:spacing w:after="0" w:line="240" w:lineRule="auto"/>
        <w:ind w:leftChars="0" w:firstLineChars="0" w:firstLine="567"/>
      </w:pPr>
      <w:r>
        <w:t>Dampak yang paling serius akibat kecelakaan nuklir tentu saja terletak pada kerusakan lingkungan hidup dan resiko kesehatan hingga keselamatan jiwa masyarakat sipil, namun tidak dapat di pungkiri bahwa mayoritas insiden-insiden nuklir adalah hal  yang tidak disengaja (kecuali dapat di buktikan sebaliknya). Pada dasarnya selain ganti rugi dan sanksi diplomatik, tidak banyak hal yang bisa dilakukan dalam menaggulagi dapak kerugian lingkungan dan kematian akibat kecelakaan nuklir.</w:t>
      </w:r>
    </w:p>
    <w:p w14:paraId="0FD423DB" w14:textId="102CA797" w:rsidR="00E1632D" w:rsidRPr="00E1632D" w:rsidRDefault="00E1632D" w:rsidP="00E1632D">
      <w:pPr>
        <w:spacing w:after="0" w:line="240" w:lineRule="auto"/>
        <w:ind w:leftChars="0" w:left="0" w:firstLineChars="0" w:firstLine="567"/>
      </w:pPr>
      <w:r>
        <w:t>Perlindungan lingkungan tidak selalu menjadi fokus utama dalam peraturan energi nuklir, tetapi lebih merupakan bagian dari kerangka kerja keseluruhan untuk memastikan penggunaan nuklir yang aman, terkendali, dan damai. Namun, regulasi tersebut secara tidak langsung juga membantu melindungi lingkungan dengan mengurangi risiko kecelakaan nuklir, manajemen limbah radioaktif yang baik, dan mempromosikan teknologi nuklir yang lebih ramah lingkungan.</w:t>
      </w:r>
    </w:p>
    <w:p w14:paraId="14D5C46B" w14:textId="69EEBD60" w:rsidR="00730BB9" w:rsidRPr="00917C15" w:rsidRDefault="00730BB9" w:rsidP="00917C15">
      <w:pPr>
        <w:spacing w:after="0" w:line="240" w:lineRule="auto"/>
        <w:ind w:left="0" w:hanging="2"/>
        <w:jc w:val="center"/>
      </w:pPr>
    </w:p>
    <w:p w14:paraId="67DD06F9" w14:textId="72F95274" w:rsidR="00730BB9" w:rsidRPr="00917C15" w:rsidRDefault="00000000" w:rsidP="00917C15">
      <w:pPr>
        <w:pStyle w:val="Heading1"/>
        <w:numPr>
          <w:ilvl w:val="0"/>
          <w:numId w:val="0"/>
        </w:numPr>
        <w:spacing w:before="0" w:after="0" w:line="240" w:lineRule="auto"/>
        <w:rPr>
          <w:color w:val="000099"/>
          <w:sz w:val="24"/>
          <w:szCs w:val="24"/>
        </w:rPr>
      </w:pPr>
      <w:bookmarkStart w:id="2" w:name="_heading=h.1fob9te" w:colFirst="0" w:colLast="0"/>
      <w:bookmarkEnd w:id="2"/>
      <w:r w:rsidRPr="00917C15">
        <w:rPr>
          <w:color w:val="000099"/>
          <w:sz w:val="24"/>
          <w:szCs w:val="24"/>
        </w:rPr>
        <w:t>KESIMPULAN</w:t>
      </w:r>
    </w:p>
    <w:p w14:paraId="6970817E" w14:textId="3BC38161" w:rsidR="00E1632D" w:rsidRPr="00E1632D" w:rsidRDefault="00E1632D" w:rsidP="00E1632D">
      <w:pPr>
        <w:spacing w:after="0" w:line="240" w:lineRule="auto"/>
        <w:ind w:leftChars="0" w:left="851" w:firstLineChars="0" w:hanging="284"/>
        <w:rPr>
          <w:color w:val="212121"/>
        </w:rPr>
      </w:pPr>
      <w:r w:rsidRPr="00E1632D">
        <w:rPr>
          <w:color w:val="212121"/>
        </w:rPr>
        <w:t>1.</w:t>
      </w:r>
      <w:r w:rsidRPr="00E1632D">
        <w:rPr>
          <w:color w:val="212121"/>
        </w:rPr>
        <w:tab/>
        <w:t xml:space="preserve">Kecelakaan Chernobyl pada tahun 1986 telah menjadi perhatian dunia khususnya organisasi-organisasi internasional. Bencana besar tersebut benyebabkan kerusakan lingkungan yang permanent serta kerugian yang luar biasa bagi sebagian  bersar negara  di Eropa. Konsekuensi insiden Chernobyl mengungkap kelemahan kerangka tanggung jawab yang masih ada, dimana pada saat itu Uni Soviet belum menjadi anggota dalam konvensi internasinal mengenai pertanggung jawaban insiden nuklir manapun, dan negara lain terdampak tidak dapat meng-claim pertanggungjawaban apapun terkait insiden tersebut. </w:t>
      </w:r>
    </w:p>
    <w:p w14:paraId="1C24A953" w14:textId="77777777" w:rsidR="00E1632D" w:rsidRPr="00E1632D" w:rsidRDefault="00E1632D" w:rsidP="00E1632D">
      <w:pPr>
        <w:spacing w:after="0" w:line="240" w:lineRule="auto"/>
        <w:ind w:leftChars="0" w:left="851" w:firstLineChars="0" w:hanging="284"/>
        <w:rPr>
          <w:color w:val="212121"/>
        </w:rPr>
      </w:pPr>
      <w:r w:rsidRPr="00E1632D">
        <w:rPr>
          <w:color w:val="212121"/>
        </w:rPr>
        <w:t>2.</w:t>
      </w:r>
      <w:r w:rsidRPr="00E1632D">
        <w:rPr>
          <w:color w:val="212121"/>
        </w:rPr>
        <w:tab/>
        <w:t>Perkembangan peraturan hukum internasional pasca ledakan pembangkit listrik Chernobyl yang mengalami berbagai perubahan dan amandemen dalam beberapa dekade sebenarnya telah menunjukan pengaruh yang signifikan dimana dapat di buktikan dari penanganan kasus serupa di Fukushima Jepang pada tahun 2011 yang dapat ditanggulangi dengan lebih baik.</w:t>
      </w:r>
    </w:p>
    <w:p w14:paraId="458093DE" w14:textId="77777777" w:rsidR="00E1632D" w:rsidRPr="00E1632D" w:rsidRDefault="00E1632D" w:rsidP="00E1632D">
      <w:pPr>
        <w:spacing w:after="0" w:line="240" w:lineRule="auto"/>
        <w:ind w:leftChars="0" w:firstLineChars="0" w:firstLine="567"/>
        <w:rPr>
          <w:color w:val="212121"/>
        </w:rPr>
      </w:pPr>
      <w:r w:rsidRPr="00E1632D">
        <w:rPr>
          <w:color w:val="212121"/>
        </w:rPr>
        <w:tab/>
        <w:t xml:space="preserve">Upaya pengembangan berbagai regulasi untuk mencapai suatu peraturan internasional yang mampu mencakup perlindungan akan bahaya insiden nuklir terus di lakukan dari waktu ke waktu, meskipun dalam tahap pengembangan regulasi-regulasi tersebut mendapatkan banyak tantangan dan ‘drama’. </w:t>
      </w:r>
    </w:p>
    <w:p w14:paraId="70B586C2" w14:textId="77777777" w:rsidR="00E1632D" w:rsidRPr="00E1632D" w:rsidRDefault="00E1632D" w:rsidP="00E1632D">
      <w:pPr>
        <w:spacing w:after="0" w:line="240" w:lineRule="auto"/>
        <w:ind w:leftChars="0" w:firstLineChars="0" w:firstLine="567"/>
        <w:rPr>
          <w:color w:val="212121"/>
        </w:rPr>
      </w:pPr>
      <w:r w:rsidRPr="00E1632D">
        <w:rPr>
          <w:color w:val="212121"/>
        </w:rPr>
        <w:tab/>
        <w:t>IAEA berupaya dalam merumuskan agar negara-negara bergabung dalan regulasi-regulagi internasional dan menuangkan kembali atau merativikasi dalam peraturan negara masing-masing yang diharapkan dapat menjadi payung hukum dalam perlindungan terhadap dampak bencana nuklir, akan tetapi hal ini tidak berjalan dengan mulus, terdapat masalah lain ketika masih banyaknya negara yang tidak mengadopsi peraturan-peraturan ini, beberapa terkendala dengan kondisi geografis dan politik dan dampak ekonomi yang mempengaruhi apakah suatu negara akan mengadopsi konvensi-tersebut. Sebagian bersar negara asia dan asia pasifik masih belum menjadi anggota yang tunduk dalam konvensi mana pun. Hal ini menjadi berbahaya apa bila terjadi insiden lintas batas seperti chernobyl.</w:t>
      </w:r>
    </w:p>
    <w:p w14:paraId="7EFFBBE1" w14:textId="77777777" w:rsidR="00E1632D" w:rsidRPr="00E1632D" w:rsidRDefault="00E1632D" w:rsidP="00E1632D">
      <w:pPr>
        <w:spacing w:after="0" w:line="240" w:lineRule="auto"/>
        <w:ind w:leftChars="0" w:firstLineChars="0" w:firstLine="567"/>
        <w:rPr>
          <w:color w:val="212121"/>
        </w:rPr>
      </w:pPr>
      <w:r w:rsidRPr="00E1632D">
        <w:rPr>
          <w:color w:val="212121"/>
        </w:rPr>
        <w:tab/>
        <w:t xml:space="preserve">Pada dasarnya urgensy dari penerapan yang baik atas regulasi-regulasi terkait pertanggung jawaban insiden nuklir sejatinya bukan hanya berfokus pada perlindungan lingkungan, tetapi dalam hal ini lebih merupakan bagian dari kerangka kerja keseluruhan untuk memastikan penggunaan nuklir yang aman, terkendali, dan damai. Namun, regulasi tersebut secara tidak langsung juga membantu melindungi lingkungan dengan mengurangi risiko </w:t>
      </w:r>
      <w:r w:rsidRPr="00E1632D">
        <w:rPr>
          <w:color w:val="212121"/>
        </w:rPr>
        <w:lastRenderedPageBreak/>
        <w:t xml:space="preserve">kecelakaan nuklir, manajemen limbah radioaktif yang baik, dan mempromosikan teknologi nuklir yang lebih ramah lingkungan. Besaran beban tanggungjawab operator dan suplyer secara tidak langsung menjadi faktor pendorang negara-negara khususnya yang mengoprasikan dan memiliki industri nuklir untuk lebih cermat dan berhati-hati serta menjamin keamanan penggunaan energi nuklir. </w:t>
      </w:r>
    </w:p>
    <w:p w14:paraId="256170F3" w14:textId="33D7AD3C" w:rsidR="00730BB9" w:rsidRPr="00917C15" w:rsidRDefault="00E1632D" w:rsidP="00E1632D">
      <w:pPr>
        <w:spacing w:after="0" w:line="240" w:lineRule="auto"/>
        <w:ind w:leftChars="0" w:left="0" w:firstLineChars="0" w:firstLine="567"/>
        <w:rPr>
          <w:color w:val="212121"/>
        </w:rPr>
      </w:pPr>
      <w:r w:rsidRPr="00E1632D">
        <w:rPr>
          <w:color w:val="212121"/>
        </w:rPr>
        <w:tab/>
        <w:t>Menanggapi bahwa isu keamanan nuklir harus menjadi perhatian dunia dalam pemanfaatan energi nuklir yang menjamin keberlanjutan lingkungan hidup, PBB melalui IAEA seharusnya dapat megusung sebuah peraturan Internasional yang didalamnya mencakup setiap aspek keamanan yang mewakili setiap regulasi yang sudah ada. Peraturan itu kemudian seharusnya diberlakukan dengan unsur pemaksa bagi seluruh negara, khususnya negara-negara yang terlibat langsung dengan penggunaan energi nuklir dalam industri-industrinya. Perlindungan lingkungan harus menjadi prioritas utama dalam pengaturan penggunaan energi nuklir, dengan memastikan bahwa setiap langkah yang diambil mempertimbangkan dampaknya terhadap lingkungan dan masyarakat. Dengan demikian, melalui kerja sama internasional yang kokoh dan regulasi yang ketat, penggunaan energi nuklir dapat diarahkan menuju sumber energi yang lebih bersih dan aman, yang sesuai dengan prinsip-prinsip perlindungan lingkungan dalam hukum internasional.</w:t>
      </w:r>
    </w:p>
    <w:p w14:paraId="2636E2BC" w14:textId="5C1D0438" w:rsidR="00730BB9" w:rsidRPr="00917C15" w:rsidRDefault="00730BB9" w:rsidP="00917C15">
      <w:pPr>
        <w:spacing w:after="0" w:line="240" w:lineRule="auto"/>
        <w:ind w:left="0" w:hanging="2"/>
        <w:jc w:val="center"/>
      </w:pPr>
    </w:p>
    <w:p w14:paraId="22A51293" w14:textId="77777777" w:rsidR="00730BB9" w:rsidRPr="00917C15" w:rsidRDefault="00000000" w:rsidP="00917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color w:val="000099"/>
        </w:rPr>
      </w:pPr>
      <w:r w:rsidRPr="00917C15">
        <w:rPr>
          <w:b/>
          <w:color w:val="000099"/>
        </w:rPr>
        <w:t>REFERENSI</w:t>
      </w:r>
    </w:p>
    <w:p w14:paraId="1A072520" w14:textId="77777777" w:rsidR="00E1632D" w:rsidRPr="00E1632D" w:rsidRDefault="00E1632D" w:rsidP="00E1632D">
      <w:pPr>
        <w:spacing w:after="0" w:line="240" w:lineRule="auto"/>
        <w:ind w:leftChars="0" w:left="567" w:firstLineChars="0" w:hanging="567"/>
      </w:pPr>
      <w:r w:rsidRPr="00E1632D">
        <w:t>A. Masyhur Effendi, Andri, 2011: Prinsip Pengakuan Dalam Pembentukan Negara Baru Ditinjau Dari Hukum Internasional, Lex Jurnalica Volume 8 Nomor 3, Fakultas Hukum Universitas Brawijaya, Surabaya.</w:t>
      </w:r>
    </w:p>
    <w:p w14:paraId="1F27F81F" w14:textId="77777777" w:rsidR="00E1632D" w:rsidRPr="00E1632D" w:rsidRDefault="00E1632D" w:rsidP="00E1632D">
      <w:pPr>
        <w:spacing w:after="0" w:line="240" w:lineRule="auto"/>
        <w:ind w:leftChars="0" w:left="567" w:firstLineChars="0" w:hanging="567"/>
      </w:pPr>
      <w:r w:rsidRPr="00E1632D">
        <w:t>Ahmad Zuhdi Muhdlor, 2012. Perkembangan Metodologi Penelitian Hukum. Jurnal Hukum Dan Peradilan, Volume 1, Nomor 11.</w:t>
      </w:r>
    </w:p>
    <w:p w14:paraId="5B667947" w14:textId="77777777" w:rsidR="00E1632D" w:rsidRPr="00E1632D" w:rsidRDefault="00E1632D" w:rsidP="00E1632D">
      <w:pPr>
        <w:spacing w:after="0" w:line="240" w:lineRule="auto"/>
        <w:ind w:leftChars="0" w:left="567" w:firstLineChars="0" w:hanging="567"/>
      </w:pPr>
      <w:r w:rsidRPr="00E1632D">
        <w:t>Andre Joose, 2015, Chernobyl; tersedia https://www.chernobyl.one/lenin-nuclear-power-plant/ [ 31 maret 2024]</w:t>
      </w:r>
    </w:p>
    <w:p w14:paraId="05478598" w14:textId="77777777" w:rsidR="00E1632D" w:rsidRPr="00E1632D" w:rsidRDefault="00E1632D" w:rsidP="00E1632D">
      <w:pPr>
        <w:spacing w:after="0" w:line="240" w:lineRule="auto"/>
        <w:ind w:leftChars="0" w:left="567" w:firstLineChars="0" w:hanging="567"/>
      </w:pPr>
      <w:r w:rsidRPr="00E1632D">
        <w:t>Bambang Sunggono, 2003, Metode Penelitian Hukum, Cet 5,: PT RajaGrafindo Persada, Jakarta</w:t>
      </w:r>
    </w:p>
    <w:p w14:paraId="23DCC1CE" w14:textId="77777777" w:rsidR="00E1632D" w:rsidRPr="00E1632D" w:rsidRDefault="00E1632D" w:rsidP="00E1632D">
      <w:pPr>
        <w:spacing w:after="0" w:line="240" w:lineRule="auto"/>
        <w:ind w:leftChars="0" w:left="567" w:firstLineChars="0" w:hanging="567"/>
      </w:pPr>
      <w:r w:rsidRPr="00E1632D">
        <w:t>Birkah Latif, 2020. Penghantar Hukum Lingkungan Internasinal, Pustaka Pena Press, Makasar</w:t>
      </w:r>
    </w:p>
    <w:p w14:paraId="6703CE68" w14:textId="77777777" w:rsidR="00E1632D" w:rsidRPr="00E1632D" w:rsidRDefault="00E1632D" w:rsidP="00E1632D">
      <w:pPr>
        <w:spacing w:after="0" w:line="240" w:lineRule="auto"/>
        <w:ind w:leftChars="0" w:left="567" w:firstLineChars="0" w:hanging="567"/>
      </w:pPr>
      <w:r w:rsidRPr="00E1632D">
        <w:t>Bloomberg Businessweek. Associated Press, 2011, tersedia; https://www.bloomberg.com/businessweek, [12 Juni 2023]</w:t>
      </w:r>
    </w:p>
    <w:p w14:paraId="18124C11" w14:textId="77777777" w:rsidR="00E1632D" w:rsidRPr="00E1632D" w:rsidRDefault="00E1632D" w:rsidP="00E1632D">
      <w:pPr>
        <w:spacing w:after="0" w:line="240" w:lineRule="auto"/>
        <w:ind w:leftChars="0" w:left="567" w:firstLineChars="0" w:hanging="567"/>
      </w:pPr>
      <w:r w:rsidRPr="00E1632D">
        <w:t>BPHN Kemenkumham RI, 2018 Batas_Wilayah_Negara Tersedia: Https://Www.Bphn.Go.Id/Data/Documents/.Pdf Diakses 1 Juni 2022</w:t>
      </w:r>
    </w:p>
    <w:p w14:paraId="10FCEB51" w14:textId="77777777" w:rsidR="00E1632D" w:rsidRPr="00E1632D" w:rsidRDefault="00E1632D" w:rsidP="00E1632D">
      <w:pPr>
        <w:spacing w:after="0" w:line="240" w:lineRule="auto"/>
        <w:ind w:leftChars="0" w:left="567" w:firstLineChars="0" w:hanging="567"/>
      </w:pPr>
      <w:r w:rsidRPr="00E1632D">
        <w:t>CBC news, Pickering nuclear plant reports water leak". 2011, https://www.cbc.ca/news/canada/toronto/pickering-nuclear-plant-reports-water-leak-1.1096682 [10 Juni 2023]</w:t>
      </w:r>
    </w:p>
    <w:p w14:paraId="51DC2C4F" w14:textId="77777777" w:rsidR="00E1632D" w:rsidRPr="00E1632D" w:rsidRDefault="00E1632D" w:rsidP="00E1632D">
      <w:pPr>
        <w:spacing w:after="0" w:line="240" w:lineRule="auto"/>
        <w:ind w:leftChars="0" w:left="567" w:firstLineChars="0" w:hanging="567"/>
      </w:pPr>
      <w:r w:rsidRPr="00E1632D">
        <w:t xml:space="preserve">Dave Taylor, Manitoba’s forgotten nuclear accident, 2011, Tersedia https://www.winnipegfreepress.com/opinion/analysis/2011/03/24/manitobas-forgotten-nuclear-accident [12 Juni 2023] </w:t>
      </w:r>
    </w:p>
    <w:p w14:paraId="069CC126" w14:textId="77777777" w:rsidR="00E1632D" w:rsidRPr="00E1632D" w:rsidRDefault="00E1632D" w:rsidP="00E1632D">
      <w:pPr>
        <w:spacing w:after="0" w:line="240" w:lineRule="auto"/>
        <w:ind w:leftChars="0" w:left="567" w:firstLineChars="0" w:hanging="567"/>
      </w:pPr>
      <w:r w:rsidRPr="00E1632D">
        <w:t>Debby Larasati Wibowo, Nanik Trihastuti, Muchsin Idris, Tanggung Jawab Operator Dalam Pemanfataan Tenaga Nuklir Untuk Maksud Damai Sebagai Sumber Energi Dalam Perspektif Hukum Internasional (Studi Kecelakaan Nuklir Di Chernobyl Dan Fukushima), Diponegoro Law Review Volume 5, Nomor 2, Tahun 2016.</w:t>
      </w:r>
    </w:p>
    <w:p w14:paraId="46AA783D" w14:textId="77777777" w:rsidR="00E1632D" w:rsidRPr="00E1632D" w:rsidRDefault="00E1632D" w:rsidP="00E1632D">
      <w:pPr>
        <w:spacing w:after="0" w:line="240" w:lineRule="auto"/>
        <w:ind w:leftChars="0" w:left="567" w:firstLineChars="0" w:hanging="567"/>
      </w:pPr>
      <w:r w:rsidRPr="00E1632D">
        <w:t>Dewi Prima Meiliasari, Berton Suar Panjaitan, I Dewa Ketut Kerta Widana, Rio Khoirudin Apriadi, Dwi Cahyadi, , Lesson Learned Dari Kecelakaan Reaktor Nuklir, Fukushima Daiichi Untuk Meningkatkan Mitigasi Reaktor Serba Guna Gerrit Augustinus Siwabessy (RSG-GAS), PENDIPA Journal of Science Education, Vol 6, No.2, 2022</w:t>
      </w:r>
    </w:p>
    <w:p w14:paraId="14D3A729" w14:textId="77777777" w:rsidR="00E1632D" w:rsidRPr="00E1632D" w:rsidRDefault="00E1632D" w:rsidP="00E1632D">
      <w:pPr>
        <w:spacing w:after="0" w:line="240" w:lineRule="auto"/>
        <w:ind w:leftChars="0" w:left="567" w:firstLineChars="0" w:hanging="567"/>
      </w:pPr>
      <w:r w:rsidRPr="00E1632D">
        <w:t xml:space="preserve">Dinas Lingkungan Hidup Dan Kehutanan, 2019. Mengenang 35 Tahun Tragedi Nuklir Chernobyl : Sebuah Kecelakaan Suksei  Lingkungan, Tersedia Https://Dlhk.Jogjaprov.Go.Id/Mengenang-35-Tahun-Tragedi-Nuklir-Chernobyl-Sebuah-Kecelakaan-Suksesi-Lingkungan Diakses 03 Juni 2022 </w:t>
      </w:r>
    </w:p>
    <w:p w14:paraId="16C0920F" w14:textId="77777777" w:rsidR="00E1632D" w:rsidRPr="00E1632D" w:rsidRDefault="00E1632D" w:rsidP="00E1632D">
      <w:pPr>
        <w:spacing w:after="0" w:line="240" w:lineRule="auto"/>
        <w:ind w:leftChars="0" w:left="567" w:firstLineChars="0" w:hanging="567"/>
      </w:pPr>
      <w:r w:rsidRPr="00E1632D">
        <w:lastRenderedPageBreak/>
        <w:t>Direktorat Keteknikan Dan Kesiapsiagaan Nuklir Badan Pengawas Tenaga Nuklir, Pedoman Respons Bapeten Pada Kejadian Kehilangan Atau Penemuan Zat Radioaktif, Seri pedoman, Jakarta. 2022</w:t>
      </w:r>
    </w:p>
    <w:p w14:paraId="74B00BD5" w14:textId="77777777" w:rsidR="00E1632D" w:rsidRPr="00E1632D" w:rsidRDefault="00E1632D" w:rsidP="00E1632D">
      <w:pPr>
        <w:spacing w:after="0" w:line="240" w:lineRule="auto"/>
        <w:ind w:leftChars="0" w:left="567" w:firstLineChars="0" w:hanging="567"/>
      </w:pPr>
      <w:r w:rsidRPr="00E1632D">
        <w:t>Frontline, The Kalpakkam `incident', 2003, tersedia: https://frontline.thehindu.com/other/article30218546.ece [12 Juni 2023]</w:t>
      </w:r>
    </w:p>
    <w:p w14:paraId="20C2E809" w14:textId="77777777" w:rsidR="00E1632D" w:rsidRPr="00E1632D" w:rsidRDefault="00E1632D" w:rsidP="00E1632D">
      <w:pPr>
        <w:spacing w:after="0" w:line="240" w:lineRule="auto"/>
        <w:ind w:leftChars="0" w:left="567" w:firstLineChars="0" w:hanging="567"/>
      </w:pPr>
      <w:r w:rsidRPr="00E1632D">
        <w:t>I Putu Fajar Apriana, Retnomurni, Marwanto; 2020. Kegiatan Jual Rugi Dalam Persaingan Usaha: Suatu Kajian Yuridis, Jurnal Fakultash Hukum Universitas Udayana Vol. 8 No.2. Bali.</w:t>
      </w:r>
    </w:p>
    <w:p w14:paraId="704C6C45" w14:textId="77777777" w:rsidR="00E1632D" w:rsidRPr="00E1632D" w:rsidRDefault="00E1632D" w:rsidP="00E1632D">
      <w:pPr>
        <w:spacing w:after="0" w:line="240" w:lineRule="auto"/>
        <w:ind w:leftChars="0" w:left="567" w:firstLineChars="0" w:hanging="567"/>
      </w:pPr>
      <w:r w:rsidRPr="00E1632D">
        <w:t>IAEA and OECD. INES, The International Nuclear and Radiological Event Scale " https://www.iaea.org/sites/default/files/ines.pdf diakses pada tanggal [12 November 2023].</w:t>
      </w:r>
    </w:p>
    <w:p w14:paraId="3EE28C73" w14:textId="77777777" w:rsidR="00E1632D" w:rsidRPr="00E1632D" w:rsidRDefault="00E1632D" w:rsidP="00E1632D">
      <w:pPr>
        <w:spacing w:after="0" w:line="240" w:lineRule="auto"/>
        <w:ind w:leftChars="0" w:left="567" w:firstLineChars="0" w:hanging="567"/>
      </w:pPr>
      <w:r w:rsidRPr="00E1632D">
        <w:t>International Nuclear Safety  Advisory Group, 1992. INSAG-7 The Chernobyl Accident:  Updating Of INSAG-1, Safety Series No.75.</w:t>
      </w:r>
    </w:p>
    <w:p w14:paraId="1432FB83" w14:textId="77777777" w:rsidR="00E1632D" w:rsidRPr="00E1632D" w:rsidRDefault="00E1632D" w:rsidP="00E1632D">
      <w:pPr>
        <w:spacing w:after="0" w:line="240" w:lineRule="auto"/>
        <w:ind w:leftChars="0" w:left="567" w:firstLineChars="0" w:hanging="567"/>
      </w:pPr>
      <w:r w:rsidRPr="00E1632D">
        <w:t>Kim Hjelmgaard, USA TODAY, Chernobyl: Timeline of a nuclear nightmare, tersedia: https://www.usatoday.com/story/news/world/2016/04/17/chernobyl-timeline-disaster-30th-anniversary/82899108/ [7 Juni 2024]</w:t>
      </w:r>
    </w:p>
    <w:p w14:paraId="02E77B01" w14:textId="77777777" w:rsidR="00E1632D" w:rsidRPr="00E1632D" w:rsidRDefault="00E1632D" w:rsidP="00E1632D">
      <w:pPr>
        <w:spacing w:after="0" w:line="240" w:lineRule="auto"/>
        <w:ind w:leftChars="0" w:left="567" w:firstLineChars="0" w:hanging="567"/>
      </w:pPr>
      <w:r w:rsidRPr="00E1632D">
        <w:t>Laka foundation: INES 3 - Iodine-131 release in the environment, https://www.laka.org/docu/ines/event/874 diakses terakhir tanggal [30 Mei 2023]</w:t>
      </w:r>
    </w:p>
    <w:p w14:paraId="05668180" w14:textId="77777777" w:rsidR="00E1632D" w:rsidRPr="00E1632D" w:rsidRDefault="00E1632D" w:rsidP="00E1632D">
      <w:pPr>
        <w:spacing w:after="0" w:line="240" w:lineRule="auto"/>
        <w:ind w:leftChars="0" w:left="567" w:firstLineChars="0" w:hanging="567"/>
      </w:pPr>
      <w:r w:rsidRPr="00E1632D">
        <w:t>MacLeod, Ian, 2011, Chalk River's toxic legacy. Tersedia, https://ottawacitizen.com/news/chalk-rivers-toxic-legacy [30 Mei 2023]</w:t>
      </w:r>
    </w:p>
    <w:p w14:paraId="4882BE74" w14:textId="77777777" w:rsidR="00E1632D" w:rsidRPr="00E1632D" w:rsidRDefault="00E1632D" w:rsidP="00E1632D">
      <w:pPr>
        <w:spacing w:after="0" w:line="240" w:lineRule="auto"/>
        <w:ind w:leftChars="0" w:left="567" w:firstLineChars="0" w:hanging="567"/>
      </w:pPr>
      <w:r w:rsidRPr="00E1632D">
        <w:t>Md Saidul Islam, Yap Hui Pei, Shrutika Mangharam, 2016. Trans-Boundary Haze Pollution In Southeast Asia: Sustainability Through Plural Environmental Governance, Licensee MDPI, Basel, Switzerland</w:t>
      </w:r>
    </w:p>
    <w:p w14:paraId="5AD14664" w14:textId="77777777" w:rsidR="00E1632D" w:rsidRPr="00E1632D" w:rsidRDefault="00E1632D" w:rsidP="00E1632D">
      <w:pPr>
        <w:spacing w:after="0" w:line="240" w:lineRule="auto"/>
        <w:ind w:leftChars="0" w:left="567" w:firstLineChars="0" w:hanging="567"/>
      </w:pPr>
      <w:r w:rsidRPr="00E1632D">
        <w:t>Muhamad Muhdar, 2009, Eksistensi Polluter Pays Principle Dalam Pengaturan Hukum Lingkungan Di Indonesia, Mimbar Hukum Volume 21 Nomor 1, Hal. 71</w:t>
      </w:r>
    </w:p>
    <w:p w14:paraId="29864837" w14:textId="77777777" w:rsidR="00E1632D" w:rsidRPr="00E1632D" w:rsidRDefault="00E1632D" w:rsidP="00E1632D">
      <w:pPr>
        <w:spacing w:after="0" w:line="240" w:lineRule="auto"/>
        <w:ind w:leftChars="0" w:left="567" w:firstLineChars="0" w:hanging="567"/>
      </w:pPr>
      <w:r w:rsidRPr="00E1632D">
        <w:t>National Geographic, 2021. Tersedia: Https://Nationalgeographic.Grid.Id/Read/132670949/Ukraina-Usul-Lokasi-Ledakan-Nuklir-Chernobyl-Jadi-Situs-Warisan-Dunia?Page=All Diakses 02 Juni 2022</w:t>
      </w:r>
    </w:p>
    <w:p w14:paraId="1F8D3050" w14:textId="77777777" w:rsidR="00E1632D" w:rsidRPr="00E1632D" w:rsidRDefault="00E1632D" w:rsidP="00E1632D">
      <w:pPr>
        <w:spacing w:after="0" w:line="240" w:lineRule="auto"/>
        <w:ind w:leftChars="0" w:left="567" w:firstLineChars="0" w:hanging="567"/>
      </w:pPr>
      <w:r w:rsidRPr="00E1632D">
        <w:t>Newspapper by Ancestry, Nuclear Accident Exposes Workers At French Fuel Reprocessing Plant, La Hague (1986), 2015, tersedia; Https://Www.Newspapers.Com/Article/Logansport-Pharos-Tribune-Nuclear-Accide/1957725/, [12 Juni 2023.]</w:t>
      </w:r>
    </w:p>
    <w:p w14:paraId="068327BC" w14:textId="77777777" w:rsidR="00E1632D" w:rsidRPr="00E1632D" w:rsidRDefault="00E1632D" w:rsidP="00E1632D">
      <w:pPr>
        <w:spacing w:after="0" w:line="240" w:lineRule="auto"/>
        <w:ind w:leftChars="0" w:left="567" w:firstLineChars="0" w:hanging="567"/>
      </w:pPr>
      <w:r w:rsidRPr="00E1632D">
        <w:t>Newspapper, More nuclear disasters likely from Soviet RBMK nuclear power plants (1999), 2015, tersedia; https://www.newspapers.com/article/standard-speaker-more-nuclear-disasters/1964097/, [12 Juni 2013]</w:t>
      </w:r>
    </w:p>
    <w:p w14:paraId="70981363" w14:textId="77777777" w:rsidR="00E1632D" w:rsidRPr="00E1632D" w:rsidRDefault="00E1632D" w:rsidP="00E1632D">
      <w:pPr>
        <w:spacing w:after="0" w:line="240" w:lineRule="auto"/>
        <w:ind w:leftChars="0" w:left="567" w:firstLineChars="0" w:hanging="567"/>
      </w:pPr>
      <w:r w:rsidRPr="00E1632D">
        <w:t>Nicholas W. Taylor, Mira Spivak, 2001, Canada's Nuclear Reactors: How Much Safety Is Enough?, The Standing Senate Committee On Energy, The Environment And Natural Resources, Interim Report.</w:t>
      </w:r>
    </w:p>
    <w:p w14:paraId="152CB0BB" w14:textId="77777777" w:rsidR="00E1632D" w:rsidRPr="00E1632D" w:rsidRDefault="00E1632D" w:rsidP="00E1632D">
      <w:pPr>
        <w:spacing w:after="0" w:line="240" w:lineRule="auto"/>
        <w:ind w:leftChars="0" w:left="567" w:firstLineChars="0" w:hanging="567"/>
      </w:pPr>
      <w:r w:rsidRPr="00E1632D">
        <w:t>Ontario's Nuclear Generating Facilities: A History and Estimate of Unit Lifetimes and Refurbishment Costs. 2014, hlm 8.</w:t>
      </w:r>
    </w:p>
    <w:p w14:paraId="6E84C1D5" w14:textId="77777777" w:rsidR="00E1632D" w:rsidRPr="00E1632D" w:rsidRDefault="00E1632D" w:rsidP="00E1632D">
      <w:pPr>
        <w:spacing w:after="0" w:line="240" w:lineRule="auto"/>
        <w:ind w:leftChars="0" w:left="567" w:firstLineChars="0" w:hanging="567"/>
      </w:pPr>
      <w:r w:rsidRPr="00E1632D">
        <w:t>Our World In Data, What was the death toll from Chernobyl and Fukushima?, 2017, tersedia; https://ourworldindata.org/what-was-the-death-toll-from-chernobyl-and-fukushima?tab=table&amp;time=earliest..latest&amp;region=World, [12 Juni 2023]</w:t>
      </w:r>
    </w:p>
    <w:p w14:paraId="760D08A7" w14:textId="77777777" w:rsidR="00E1632D" w:rsidRPr="00E1632D" w:rsidRDefault="00E1632D" w:rsidP="00E1632D">
      <w:pPr>
        <w:spacing w:after="0" w:line="240" w:lineRule="auto"/>
        <w:ind w:leftChars="0" w:left="567" w:firstLineChars="0" w:hanging="567"/>
      </w:pPr>
      <w:r w:rsidRPr="00E1632D">
        <w:t>Paris Convention, 1960. Third  Perty Liability In The Field Of A Nuclear Energi</w:t>
      </w:r>
    </w:p>
    <w:p w14:paraId="6D11EDAB" w14:textId="77777777" w:rsidR="00E1632D" w:rsidRPr="00E1632D" w:rsidRDefault="00E1632D" w:rsidP="00E1632D">
      <w:pPr>
        <w:spacing w:after="0" w:line="240" w:lineRule="auto"/>
        <w:ind w:leftChars="0" w:left="567" w:firstLineChars="0" w:hanging="567"/>
      </w:pPr>
      <w:r w:rsidRPr="00E1632D">
        <w:t>Rahma Yulita Sari, 2022; Bencana Chernobyl, Kecelakaan Nuklir Terburuk dalam Sejarah, Zenius, https://www.zenius.net/blog/bencana-nuklir-chernobyl diakses pada tanggal 31 maret 2023, pukul 17.37.</w:t>
      </w:r>
    </w:p>
    <w:p w14:paraId="63D7B4D3" w14:textId="77777777" w:rsidR="00E1632D" w:rsidRPr="00E1632D" w:rsidRDefault="00E1632D" w:rsidP="00E1632D">
      <w:pPr>
        <w:spacing w:after="0" w:line="240" w:lineRule="auto"/>
        <w:ind w:leftChars="0" w:left="567" w:firstLineChars="0" w:hanging="567"/>
      </w:pPr>
      <w:r w:rsidRPr="00E1632D">
        <w:t>Repository Uniiversitas HKBP Nomensen, 2020; Tersedia: Https://Repository.Uhn.Ac.Id/Bitstream/Handle/123456789/714/Irwan%20E.%20Manurung.Pdf?Sequence=1&amp;Isallowed=Y Diakses 29 Mei 2021.</w:t>
      </w:r>
    </w:p>
    <w:p w14:paraId="6540FEA8" w14:textId="77777777" w:rsidR="00E1632D" w:rsidRPr="00E1632D" w:rsidRDefault="00E1632D" w:rsidP="00E1632D">
      <w:pPr>
        <w:spacing w:after="0" w:line="240" w:lineRule="auto"/>
        <w:ind w:leftChars="0" w:left="567" w:firstLineChars="0" w:hanging="567"/>
      </w:pPr>
      <w:r w:rsidRPr="00E1632D">
        <w:lastRenderedPageBreak/>
        <w:t>Reuters, Factbox: A brief history of French nuclear accidents, 2011; tesedia; https://www.reuters.com/article/us-france-nuclear-accidents/factbox-a-brief-history-of-french-nuclear-accidents-idUSTRE78B59J20110912/ [21 Mei 2023]</w:t>
      </w:r>
    </w:p>
    <w:p w14:paraId="0976647A" w14:textId="77777777" w:rsidR="00E1632D" w:rsidRPr="00E1632D" w:rsidRDefault="00E1632D" w:rsidP="00E1632D">
      <w:pPr>
        <w:spacing w:after="0" w:line="240" w:lineRule="auto"/>
        <w:ind w:leftChars="0" w:left="567" w:firstLineChars="0" w:hanging="567"/>
      </w:pPr>
      <w:r w:rsidRPr="00E1632D">
        <w:t>Roberto Phispal, 2013, Pengaturan Hukum Internasional Atas Pemanfaatan Tenaga Nuklir Dan Dampak Lingkungan Yang Mungkin Ditimbulkan, Lex Et Societatis, Vol. I/No. 5diakses 29 Mei 2021.</w:t>
      </w:r>
    </w:p>
    <w:p w14:paraId="1DF94FF3" w14:textId="77777777" w:rsidR="00E1632D" w:rsidRPr="00E1632D" w:rsidRDefault="00E1632D" w:rsidP="00E1632D">
      <w:pPr>
        <w:spacing w:after="0" w:line="240" w:lineRule="auto"/>
        <w:ind w:leftChars="0" w:left="567" w:firstLineChars="0" w:hanging="567"/>
      </w:pPr>
      <w:r w:rsidRPr="00E1632D">
        <w:t>Roli Varma, Daya R. Varma, 2005. The Bhopal Disaster Of 1984, Bulletin Of Science, Technology &amp; Society, Vol. 25, No. 1, Tersedia Https://Www.Researchgate.Net/Publication/237300206_The_Bhopal_Disaster_Of_1984 [04 Juni 2022]</w:t>
      </w:r>
    </w:p>
    <w:p w14:paraId="007CD687" w14:textId="77777777" w:rsidR="00E1632D" w:rsidRPr="00E1632D" w:rsidRDefault="00E1632D" w:rsidP="00E1632D">
      <w:pPr>
        <w:spacing w:after="0" w:line="240" w:lineRule="auto"/>
        <w:ind w:leftChars="0" w:left="567" w:firstLineChars="0" w:hanging="567"/>
      </w:pPr>
      <w:r w:rsidRPr="00E1632D">
        <w:t>Sarjiati Upik., 2018). CORE; RISIKO NUKLIR DAN RESPON PUBLIK TERHADAP BENCANA NUKLIR FUKUSHIMA DI JEPANG, Jurnal Kjian Wilayah.9, (1), hlm. 46 - 61.</w:t>
      </w:r>
    </w:p>
    <w:p w14:paraId="503EA3D4" w14:textId="77777777" w:rsidR="00E1632D" w:rsidRPr="00E1632D" w:rsidRDefault="00E1632D" w:rsidP="00E1632D">
      <w:pPr>
        <w:spacing w:after="0" w:line="240" w:lineRule="auto"/>
        <w:ind w:leftChars="0" w:left="567" w:firstLineChars="0" w:hanging="567"/>
      </w:pPr>
      <w:r w:rsidRPr="00E1632D">
        <w:t>Shant Krikorian, 2018 IAEA, Nuclear and Renewables: Playing Complementary Roles in Hybrid Energy System Tersedia; https://www.iaea.org/newscenter/news/nuclear-and-renewables-playing-complementary-roles-in-hybrid-energy-systems  15 Agustus 2022.]</w:t>
      </w:r>
    </w:p>
    <w:p w14:paraId="0E1FCAFF" w14:textId="77777777" w:rsidR="00E1632D" w:rsidRPr="00E1632D" w:rsidRDefault="00E1632D" w:rsidP="00E1632D">
      <w:pPr>
        <w:spacing w:after="0" w:line="240" w:lineRule="auto"/>
        <w:ind w:leftChars="0" w:left="567" w:firstLineChars="0" w:hanging="567"/>
      </w:pPr>
      <w:r w:rsidRPr="00E1632D">
        <w:t xml:space="preserve">Shcherbak, Y, Medvedev, G. 1987. Chernobyl. 6. Yunost. </w:t>
      </w:r>
    </w:p>
    <w:p w14:paraId="74BB4272" w14:textId="77777777" w:rsidR="00E1632D" w:rsidRPr="00E1632D" w:rsidRDefault="00E1632D" w:rsidP="00E1632D">
      <w:pPr>
        <w:spacing w:after="0" w:line="240" w:lineRule="auto"/>
        <w:ind w:leftChars="0" w:left="567" w:firstLineChars="0" w:hanging="567"/>
      </w:pPr>
      <w:r w:rsidRPr="00E1632D">
        <w:t xml:space="preserve">Singgih Diapermata., 2016). Universitas Jember; Dampak Kecelakaan Pembangkit Tenaga Nuklir Fukushima Daiichi Terhadap Keamanan Lingkungan dan Ekonomi di Jepang, e-Journal Ilmu Hubungan Internasional. hlm. 1 - 31 </w:t>
      </w:r>
    </w:p>
    <w:p w14:paraId="4EF0F6E4" w14:textId="77777777" w:rsidR="00E1632D" w:rsidRPr="00E1632D" w:rsidRDefault="00E1632D" w:rsidP="00E1632D">
      <w:pPr>
        <w:spacing w:after="0" w:line="240" w:lineRule="auto"/>
        <w:ind w:leftChars="0" w:left="567" w:firstLineChars="0" w:hanging="567"/>
      </w:pPr>
      <w:r w:rsidRPr="00E1632D">
        <w:t>Sovacool Benjamin K, 2010, A Critical Evaluation of Nuclear Power and Renewable Electricity in Asia Journal of Contemporary Asia .40, (3), Hlm 369–400</w:t>
      </w:r>
    </w:p>
    <w:p w14:paraId="0D3C5CD3" w14:textId="77777777" w:rsidR="00E1632D" w:rsidRPr="00E1632D" w:rsidRDefault="00E1632D" w:rsidP="00E1632D">
      <w:pPr>
        <w:spacing w:after="0" w:line="240" w:lineRule="auto"/>
        <w:ind w:leftChars="0" w:left="567" w:firstLineChars="0" w:hanging="567"/>
      </w:pPr>
      <w:r w:rsidRPr="00E1632D">
        <w:t>Sukanda Husin, 2016.Hukum Lingkungan Internasional, Jakarta : Rajawali Pers</w:t>
      </w:r>
    </w:p>
    <w:p w14:paraId="5FC1D5E1" w14:textId="77777777" w:rsidR="00E1632D" w:rsidRPr="00E1632D" w:rsidRDefault="00E1632D" w:rsidP="00E1632D">
      <w:pPr>
        <w:spacing w:after="0" w:line="240" w:lineRule="auto"/>
        <w:ind w:leftChars="0" w:left="567" w:firstLineChars="0" w:hanging="567"/>
      </w:pPr>
      <w:r w:rsidRPr="00E1632D">
        <w:t>Suparto Wijoyo, A'an Efendi, 2017, Hukum Lingkungan Internasional,  Sinar Grafika , Jakarta Timur.</w:t>
      </w:r>
    </w:p>
    <w:p w14:paraId="2A3700AA" w14:textId="77777777" w:rsidR="00E1632D" w:rsidRPr="00E1632D" w:rsidRDefault="00E1632D" w:rsidP="00E1632D">
      <w:pPr>
        <w:spacing w:after="0" w:line="240" w:lineRule="auto"/>
        <w:ind w:leftChars="0" w:left="567" w:firstLineChars="0" w:hanging="567"/>
      </w:pPr>
      <w:r w:rsidRPr="00E1632D">
        <w:t>Thantowi, Jawahir    Dan    Pranoto Iskandar, 2006. Hukum   Internasional Kontemporer. Bandung: Refika Aditama Klir</w:t>
      </w:r>
    </w:p>
    <w:p w14:paraId="1B215120" w14:textId="77777777" w:rsidR="00E1632D" w:rsidRPr="00E1632D" w:rsidRDefault="00E1632D" w:rsidP="00E1632D">
      <w:pPr>
        <w:spacing w:after="0" w:line="240" w:lineRule="auto"/>
        <w:ind w:leftChars="0" w:left="567" w:firstLineChars="0" w:hanging="567"/>
      </w:pPr>
      <w:r w:rsidRPr="00E1632D">
        <w:t>Toronto Star, Nuclear plant spills tritium into lake, 2009, Tersedia; https://www.thestar.com/news/ontario/nuclear-plant-spills-tritium-into-lake/article_0cf874b5-ad30-57da-ba74-9fb47b4bab9f.html, [10 Juni 2023]</w:t>
      </w:r>
    </w:p>
    <w:p w14:paraId="68320A85" w14:textId="77777777" w:rsidR="00E1632D" w:rsidRPr="00E1632D" w:rsidRDefault="00E1632D" w:rsidP="00E1632D">
      <w:pPr>
        <w:spacing w:after="0" w:line="240" w:lineRule="auto"/>
        <w:ind w:leftChars="0" w:left="567" w:firstLineChars="0" w:hanging="567"/>
      </w:pPr>
      <w:r w:rsidRPr="00E1632D">
        <w:t>United Nations Scientific Committee on the Effects of Atomic Radiation, UNSCEAR 2013 Report, 2013, Volume I, tesedia; https://www.unscear.org/docs/reports/2013/14-06336_Report_2013_Annex_A_Ebook_website.pdf, [12 juni 2014]</w:t>
      </w:r>
    </w:p>
    <w:p w14:paraId="62CA7E9C" w14:textId="77777777" w:rsidR="00E1632D" w:rsidRPr="00E1632D" w:rsidRDefault="00E1632D" w:rsidP="00E1632D">
      <w:pPr>
        <w:spacing w:after="0" w:line="240" w:lineRule="auto"/>
        <w:ind w:leftChars="0" w:left="567" w:firstLineChars="0" w:hanging="567"/>
      </w:pPr>
      <w:r w:rsidRPr="00E1632D">
        <w:t xml:space="preserve">Vienna Convention,  1979.  The    Convention    On    The Physical Protection Of Nuclear Material,  </w:t>
      </w:r>
    </w:p>
    <w:p w14:paraId="0D680EE7" w14:textId="77777777" w:rsidR="00E1632D" w:rsidRPr="00E1632D" w:rsidRDefault="00E1632D" w:rsidP="00E1632D">
      <w:pPr>
        <w:spacing w:after="0" w:line="240" w:lineRule="auto"/>
        <w:ind w:leftChars="0" w:left="567" w:firstLineChars="0" w:hanging="567"/>
      </w:pPr>
      <w:r w:rsidRPr="00E1632D">
        <w:t>Vienna Convention, 1963. Civil Liability For Nuclear Damage</w:t>
      </w:r>
    </w:p>
    <w:p w14:paraId="6C105A6E" w14:textId="77777777" w:rsidR="00E1632D" w:rsidRPr="00E1632D" w:rsidRDefault="00E1632D" w:rsidP="00E1632D">
      <w:pPr>
        <w:spacing w:after="0" w:line="240" w:lineRule="auto"/>
        <w:ind w:leftChars="0" w:left="567" w:firstLineChars="0" w:hanging="567"/>
      </w:pPr>
      <w:r w:rsidRPr="00E1632D">
        <w:t xml:space="preserve">Wayback Machine, the World Nuclear Industry Status Report 2007, 2008, tersedia;  https://web.archive.org/web/20080625044818/http://www.greens-efa.org/cms/topics/dokbin/206/206749.pdf [12 Juni 2023] </w:t>
      </w:r>
    </w:p>
    <w:p w14:paraId="4A6A15BC" w14:textId="77777777" w:rsidR="00E1632D" w:rsidRPr="00E1632D" w:rsidRDefault="00E1632D" w:rsidP="00E1632D">
      <w:pPr>
        <w:spacing w:after="0" w:line="240" w:lineRule="auto"/>
        <w:ind w:leftChars="0" w:left="567" w:firstLineChars="0" w:hanging="567"/>
      </w:pPr>
      <w:r w:rsidRPr="00E1632D">
        <w:t>Widya Krulinasari, 2013. Pengaturan Hukum Interasional Terhadap Penggunaan Nuklir Untuk Tujuan Damai, Fiat Justitia Jurnal Ilmu Hukum Volume 7 No. 1,Tersedia:Https://Jurnal.Fh.Unila.Ac.Id/Index.Php/Fiat/Article/View/367/326  Diakses 02 Juni 2022</w:t>
      </w:r>
    </w:p>
    <w:p w14:paraId="62D0BD2A" w14:textId="77777777" w:rsidR="00E1632D" w:rsidRPr="00E1632D" w:rsidRDefault="00E1632D" w:rsidP="00E1632D">
      <w:pPr>
        <w:spacing w:after="0" w:line="240" w:lineRule="auto"/>
        <w:ind w:leftChars="0" w:left="567" w:firstLineChars="0" w:hanging="567"/>
      </w:pPr>
      <w:r w:rsidRPr="00E1632D">
        <w:t>Widya Krulinasari, 2013. Pengaturan Hukum Interasional Terhadap Penggunaan Nuklir Untuk Tujuan Damai, Fiat Justitia Jurnal Ilmu Hukum Volume 7 No. 1,Tersedia:Https://Jurnal.Fh.Unila.Ac.Id/Index.Php/Fiat/Article/View/367/326  Diakses 02 Juni 2022</w:t>
      </w:r>
    </w:p>
    <w:p w14:paraId="7CF5D55D" w14:textId="77777777" w:rsidR="00E1632D" w:rsidRPr="00E1632D" w:rsidRDefault="00E1632D" w:rsidP="00E1632D">
      <w:pPr>
        <w:spacing w:after="0" w:line="240" w:lineRule="auto"/>
        <w:ind w:leftChars="0" w:left="567" w:firstLineChars="0" w:hanging="567"/>
      </w:pPr>
      <w:r w:rsidRPr="00E1632D">
        <w:t>Wikipedia, 2019 Ernergi Nuklir Tersedia: Https://Id.Wikipedia.Org/Wiki/Energi_Nuklir#Cite_Note-1  Diakses 02 Juni 2022</w:t>
      </w:r>
    </w:p>
    <w:p w14:paraId="7E073A35" w14:textId="77777777" w:rsidR="00E1632D" w:rsidRPr="00E1632D" w:rsidRDefault="00E1632D" w:rsidP="00E1632D">
      <w:pPr>
        <w:spacing w:after="0" w:line="240" w:lineRule="auto"/>
        <w:ind w:leftChars="0" w:left="567" w:firstLineChars="0" w:hanging="567"/>
      </w:pPr>
      <w:r w:rsidRPr="00E1632D">
        <w:t xml:space="preserve">Wikipedia, Biblis Nuclear Power Plant, 2023, tersedia; https://en.wikipedia.org/wiki/Gravelines_Nuclear_Power_Station, [12 Juni 2023.] </w:t>
      </w:r>
    </w:p>
    <w:p w14:paraId="7650F2F8" w14:textId="77777777" w:rsidR="00E1632D" w:rsidRPr="00E1632D" w:rsidRDefault="00E1632D" w:rsidP="00E1632D">
      <w:pPr>
        <w:spacing w:after="0" w:line="240" w:lineRule="auto"/>
        <w:ind w:leftChars="0" w:left="567" w:firstLineChars="0" w:hanging="567"/>
      </w:pPr>
      <w:r w:rsidRPr="00E1632D">
        <w:lastRenderedPageBreak/>
        <w:t>Wikipedia, Cyclone Lothar, 2023, Tersedia; https://en.wikipedia.org/wiki/Cyclone_Lothar, [3 Juli 2023]</w:t>
      </w:r>
    </w:p>
    <w:p w14:paraId="1A860DB4" w14:textId="77777777" w:rsidR="00E1632D" w:rsidRPr="00E1632D" w:rsidRDefault="00E1632D" w:rsidP="00E1632D">
      <w:pPr>
        <w:spacing w:after="0" w:line="240" w:lineRule="auto"/>
        <w:ind w:leftChars="0" w:left="567" w:firstLineChars="0" w:hanging="567"/>
      </w:pPr>
      <w:r w:rsidRPr="00E1632D">
        <w:t>Wikipedia, Gravelines Nuclear Power Station, 2023. tersedia; https://en.wikipedia.org/wiki/Gravelines_Nuclear_Power_Station, [12 Juni 2023.]</w:t>
      </w:r>
    </w:p>
    <w:p w14:paraId="23C884BD" w14:textId="77777777" w:rsidR="00E1632D" w:rsidRPr="00E1632D" w:rsidRDefault="00E1632D" w:rsidP="00E1632D">
      <w:pPr>
        <w:spacing w:after="0" w:line="240" w:lineRule="auto"/>
        <w:ind w:leftChars="0" w:left="567" w:firstLineChars="0" w:hanging="567"/>
      </w:pPr>
      <w:r w:rsidRPr="00E1632D">
        <w:t>Wikipedia, Greifswald Nuclear Power Plant, 2022; tersedia; https://en.wikipedia.org/wiki/Gravelines_Nuclear_Power_Station, [12 Juni 2023.]</w:t>
      </w:r>
    </w:p>
    <w:p w14:paraId="5E991209" w14:textId="77777777" w:rsidR="00E1632D" w:rsidRPr="00E1632D" w:rsidRDefault="00E1632D" w:rsidP="00E1632D">
      <w:pPr>
        <w:spacing w:after="0" w:line="240" w:lineRule="auto"/>
        <w:ind w:leftChars="0" w:left="567" w:firstLineChars="0" w:hanging="567"/>
      </w:pPr>
      <w:r w:rsidRPr="00E1632D">
        <w:t>Wikipedia, Perbatasan Wilayah, 2018. Tersedia: Https://Id.Wikipedia.Org/Wiki/Perbatasan_[1 Juni 2022]</w:t>
      </w:r>
    </w:p>
    <w:p w14:paraId="3155D922" w14:textId="4D8A9538" w:rsidR="00E1632D" w:rsidRPr="00E1632D" w:rsidRDefault="00E1632D" w:rsidP="00E1632D">
      <w:pPr>
        <w:spacing w:after="0" w:line="240" w:lineRule="auto"/>
        <w:ind w:leftChars="0" w:left="567" w:firstLineChars="0" w:hanging="567"/>
      </w:pPr>
      <w:r w:rsidRPr="00E1632D">
        <w:t>Wikipedia,</w:t>
      </w:r>
      <w:r>
        <w:t xml:space="preserve"> </w:t>
      </w:r>
      <w:r w:rsidRPr="00E1632D">
        <w:t>THTR-300, 2023. tersedia; https://en.wikipedia.org/wiki/Gravelines_Nuclear_Power_Station, [12 Juni 2023.]</w:t>
      </w:r>
    </w:p>
    <w:p w14:paraId="4577BC7A" w14:textId="77777777" w:rsidR="00E1632D" w:rsidRPr="00E1632D" w:rsidRDefault="00E1632D" w:rsidP="00E1632D">
      <w:pPr>
        <w:spacing w:after="0" w:line="240" w:lineRule="auto"/>
        <w:ind w:leftChars="0" w:left="567" w:firstLineChars="0" w:hanging="567"/>
      </w:pPr>
      <w:r w:rsidRPr="00E1632D">
        <w:t>Zeilig, Martin 1995. Louis Slotin and Invisible Killer,The Beaver, 75 [4]: halaman 20–27.</w:t>
      </w:r>
    </w:p>
    <w:p w14:paraId="1D8666F8" w14:textId="77777777" w:rsidR="00E1632D" w:rsidRPr="00E1632D" w:rsidRDefault="00E1632D" w:rsidP="00E1632D">
      <w:pPr>
        <w:spacing w:after="0" w:line="240" w:lineRule="auto"/>
        <w:ind w:leftChars="0" w:left="567" w:firstLineChars="0" w:hanging="567"/>
        <w:rPr>
          <w:color w:val="000099"/>
        </w:rPr>
      </w:pPr>
      <w:r w:rsidRPr="00E1632D">
        <w:t>Zubaidah Alatas, 2006; Konsekuensi kecelakaan Reaktor Chernobyl terhadap Kesehatan dan lingkungan, Buletin Alara, Volume 7 Nomor 3. Hlm. 82</w:t>
      </w:r>
    </w:p>
    <w:p w14:paraId="67C34E7B" w14:textId="5A0DB7EE" w:rsidR="00730BB9" w:rsidRPr="00917C15" w:rsidRDefault="00730BB9" w:rsidP="00917C15">
      <w:pPr>
        <w:pBdr>
          <w:top w:val="nil"/>
          <w:left w:val="nil"/>
          <w:bottom w:val="nil"/>
          <w:right w:val="nil"/>
          <w:between w:val="nil"/>
        </w:pBdr>
        <w:shd w:val="clear" w:color="auto" w:fill="FFFFFF"/>
        <w:spacing w:after="0" w:line="240" w:lineRule="auto"/>
        <w:ind w:left="0" w:hanging="2"/>
        <w:rPr>
          <w:color w:val="000099"/>
          <w:szCs w:val="24"/>
        </w:rPr>
      </w:pPr>
    </w:p>
    <w:sectPr w:rsidR="00730BB9" w:rsidRPr="00917C15" w:rsidSect="00111177">
      <w:headerReference w:type="even" r:id="rId13"/>
      <w:headerReference w:type="default" r:id="rId14"/>
      <w:footerReference w:type="even" r:id="rId15"/>
      <w:footerReference w:type="default" r:id="rId16"/>
      <w:headerReference w:type="first" r:id="rId17"/>
      <w:footerReference w:type="first" r:id="rId18"/>
      <w:pgSz w:w="11906" w:h="16838"/>
      <w:pgMar w:top="1245" w:right="1394" w:bottom="1260" w:left="1440" w:header="567" w:footer="567" w:gutter="0"/>
      <w:pgNumType w:start="28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20F4" w14:textId="77777777" w:rsidR="00643FD3" w:rsidRDefault="00643FD3">
      <w:pPr>
        <w:spacing w:after="0" w:line="240" w:lineRule="auto"/>
        <w:ind w:left="0" w:hanging="2"/>
      </w:pPr>
      <w:r>
        <w:separator/>
      </w:r>
    </w:p>
  </w:endnote>
  <w:endnote w:type="continuationSeparator" w:id="0">
    <w:p w14:paraId="3883197E" w14:textId="77777777" w:rsidR="00643FD3" w:rsidRDefault="00643FD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E1A1" w14:textId="77777777" w:rsidR="00917C15" w:rsidRDefault="00917C1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9493" w14:textId="460E884C" w:rsidR="00730BB9" w:rsidRDefault="00000000">
    <w:pPr>
      <w:pBdr>
        <w:top w:val="single" w:sz="4" w:space="1" w:color="D9D9D9"/>
        <w:left w:val="nil"/>
        <w:bottom w:val="nil"/>
        <w:right w:val="nil"/>
        <w:between w:val="nil"/>
      </w:pBdr>
      <w:spacing w:after="0"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240D3">
      <w:rPr>
        <w:noProof/>
        <w:color w:val="000000"/>
        <w:sz w:val="20"/>
        <w:szCs w:val="20"/>
      </w:rPr>
      <w:t>1</w:t>
    </w:r>
    <w:r>
      <w:rPr>
        <w:color w:val="000000"/>
        <w:sz w:val="20"/>
        <w:szCs w:val="20"/>
      </w:rPr>
      <w:fldChar w:fldCharType="end"/>
    </w:r>
    <w:r>
      <w:rPr>
        <w:color w:val="000000"/>
        <w:sz w:val="20"/>
        <w:szCs w:val="20"/>
      </w:rPr>
      <w:t xml:space="preserve"> | </w:t>
    </w:r>
    <w:r>
      <w:rPr>
        <w:color w:val="808080"/>
        <w:sz w:val="20"/>
        <w:szCs w:val="20"/>
      </w:rPr>
      <w:t>P</w:t>
    </w:r>
    <w:r w:rsidR="00917C15">
      <w:rPr>
        <w:color w:val="808080"/>
        <w:sz w:val="20"/>
        <w:szCs w:val="20"/>
      </w:rPr>
      <w:t xml:space="preserve"> </w:t>
    </w:r>
    <w:r>
      <w:rPr>
        <w:color w:val="808080"/>
        <w:sz w:val="20"/>
        <w:szCs w:val="20"/>
      </w:rPr>
      <w:t>a</w:t>
    </w:r>
    <w:r w:rsidR="00917C15">
      <w:rPr>
        <w:color w:val="808080"/>
        <w:sz w:val="20"/>
        <w:szCs w:val="20"/>
      </w:rPr>
      <w:t xml:space="preserve"> </w:t>
    </w:r>
    <w:r>
      <w:rPr>
        <w:color w:val="808080"/>
        <w:sz w:val="20"/>
        <w:szCs w:val="20"/>
      </w:rPr>
      <w:t>g</w:t>
    </w:r>
    <w:r w:rsidR="00917C15">
      <w:rPr>
        <w:color w:val="808080"/>
        <w:sz w:val="20"/>
        <w:szCs w:val="20"/>
      </w:rPr>
      <w:t xml:space="preserve"> </w:t>
    </w:r>
    <w:r>
      <w:rPr>
        <w:color w:val="808080"/>
        <w:sz w:val="20"/>
        <w:szCs w:val="20"/>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218D" w14:textId="77777777" w:rsidR="00917C15" w:rsidRDefault="00917C1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9C41" w14:textId="77777777" w:rsidR="00643FD3" w:rsidRDefault="00643FD3">
      <w:pPr>
        <w:spacing w:after="0" w:line="240" w:lineRule="auto"/>
        <w:ind w:left="0" w:hanging="2"/>
      </w:pPr>
      <w:r>
        <w:separator/>
      </w:r>
    </w:p>
  </w:footnote>
  <w:footnote w:type="continuationSeparator" w:id="0">
    <w:p w14:paraId="3E83BC88" w14:textId="77777777" w:rsidR="00643FD3" w:rsidRDefault="00643FD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931F" w14:textId="77777777" w:rsidR="00917C15" w:rsidRDefault="00917C1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1E52" w14:textId="73101CBF" w:rsidR="00730BB9" w:rsidRDefault="00730BB9" w:rsidP="00917C15">
    <w:pPr>
      <w:pBdr>
        <w:top w:val="nil"/>
        <w:left w:val="nil"/>
        <w:bottom w:val="single" w:sz="6" w:space="1" w:color="000000"/>
        <w:right w:val="nil"/>
        <w:between w:val="nil"/>
      </w:pBdr>
      <w:spacing w:after="0" w:line="240" w:lineRule="auto"/>
      <w:ind w:left="0" w:hanging="2"/>
      <w:rPr>
        <w:color w:val="000000"/>
        <w:sz w:val="20"/>
        <w:szCs w:val="20"/>
      </w:rPr>
    </w:pPr>
    <w:hyperlink r:id="rId1">
      <w:r>
        <w:rPr>
          <w:color w:val="0563C1"/>
          <w:sz w:val="20"/>
          <w:szCs w:val="20"/>
          <w:u w:val="single"/>
        </w:rPr>
        <w:t>https://dinastirev.org/JIHHP</w:t>
      </w:r>
    </w:hyperlink>
    <w:r w:rsidR="00A37E68">
      <w:t xml:space="preserve">                                                                                         </w:t>
    </w:r>
    <w:r>
      <w:rPr>
        <w:color w:val="000000"/>
        <w:sz w:val="20"/>
        <w:szCs w:val="20"/>
      </w:rPr>
      <w:t xml:space="preserve">Vol. </w:t>
    </w:r>
    <w:r w:rsidR="00A37E68">
      <w:rPr>
        <w:color w:val="000000"/>
        <w:sz w:val="20"/>
        <w:szCs w:val="20"/>
      </w:rPr>
      <w:t>5</w:t>
    </w:r>
    <w:r>
      <w:rPr>
        <w:color w:val="000000"/>
        <w:sz w:val="20"/>
        <w:szCs w:val="20"/>
      </w:rPr>
      <w:t>, No. 4,</w:t>
    </w:r>
    <w:r w:rsidR="00A37E68">
      <w:rPr>
        <w:color w:val="000000"/>
        <w:sz w:val="20"/>
        <w:szCs w:val="20"/>
      </w:rPr>
      <w:t xml:space="preserve"> </w:t>
    </w:r>
    <w:r>
      <w:rPr>
        <w:color w:val="000000"/>
        <w:sz w:val="20"/>
        <w:szCs w:val="20"/>
      </w:rPr>
      <w:t>202</w:t>
    </w:r>
    <w:r w:rsidR="00A37E68">
      <w:rPr>
        <w:color w:val="000000"/>
        <w:sz w:val="20"/>
        <w:szCs w:val="20"/>
      </w:rPr>
      <w:t>5</w:t>
    </w:r>
    <w:r>
      <w:rPr>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7F96" w14:textId="77777777" w:rsidR="00917C15" w:rsidRDefault="00917C1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536C"/>
    <w:multiLevelType w:val="hybridMultilevel"/>
    <w:tmpl w:val="18968E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E512B0"/>
    <w:multiLevelType w:val="multilevel"/>
    <w:tmpl w:val="17CA15E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0701607"/>
    <w:multiLevelType w:val="multilevel"/>
    <w:tmpl w:val="63B825AA"/>
    <w:lvl w:ilvl="0">
      <w:start w:val="1"/>
      <w:numFmt w:val="decimal"/>
      <w:pStyle w:val="Heading1"/>
      <w:lvlText w:val="%1."/>
      <w:lvlJc w:val="left"/>
      <w:pPr>
        <w:ind w:left="720" w:hanging="360"/>
      </w:pPr>
      <w:rPr>
        <w:b w:val="0"/>
        <w:vertAlign w:val="baseline"/>
      </w:rPr>
    </w:lvl>
    <w:lvl w:ilvl="1">
      <w:start w:val="1"/>
      <w:numFmt w:val="lowerLetter"/>
      <w:pStyle w:val="Heading2"/>
      <w:lvlText w:val="%2."/>
      <w:lvlJc w:val="left"/>
      <w:pPr>
        <w:ind w:left="1440" w:hanging="360"/>
      </w:pPr>
      <w:rPr>
        <w:vertAlign w:val="baseline"/>
      </w:rPr>
    </w:lvl>
    <w:lvl w:ilvl="2">
      <w:start w:val="1"/>
      <w:numFmt w:val="lowerRoman"/>
      <w:pStyle w:val="Heading3"/>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41C4DDA"/>
    <w:multiLevelType w:val="hybridMultilevel"/>
    <w:tmpl w:val="D6EA4C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422AD2"/>
    <w:multiLevelType w:val="hybridMultilevel"/>
    <w:tmpl w:val="1012D6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4992269">
    <w:abstractNumId w:val="2"/>
  </w:num>
  <w:num w:numId="2" w16cid:durableId="1513108169">
    <w:abstractNumId w:val="1"/>
  </w:num>
  <w:num w:numId="3" w16cid:durableId="1762986077">
    <w:abstractNumId w:val="0"/>
  </w:num>
  <w:num w:numId="4" w16cid:durableId="159853203">
    <w:abstractNumId w:val="3"/>
  </w:num>
  <w:num w:numId="5" w16cid:durableId="464272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BB9"/>
    <w:rsid w:val="00111177"/>
    <w:rsid w:val="002D279F"/>
    <w:rsid w:val="0033333D"/>
    <w:rsid w:val="004E6EC9"/>
    <w:rsid w:val="00643FD3"/>
    <w:rsid w:val="00730BB9"/>
    <w:rsid w:val="00745DE2"/>
    <w:rsid w:val="007772FC"/>
    <w:rsid w:val="007C05A5"/>
    <w:rsid w:val="007D3DAD"/>
    <w:rsid w:val="008A099D"/>
    <w:rsid w:val="009075E0"/>
    <w:rsid w:val="00917C15"/>
    <w:rsid w:val="009A59ED"/>
    <w:rsid w:val="009D468A"/>
    <w:rsid w:val="00A036F7"/>
    <w:rsid w:val="00A37E68"/>
    <w:rsid w:val="00A65EB7"/>
    <w:rsid w:val="00B41897"/>
    <w:rsid w:val="00B87747"/>
    <w:rsid w:val="00CA6D33"/>
    <w:rsid w:val="00D240D3"/>
    <w:rsid w:val="00D63929"/>
    <w:rsid w:val="00E1632D"/>
    <w:rsid w:val="00EF0BBF"/>
    <w:rsid w:val="00F53B4F"/>
    <w:rsid w:val="00FB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FD5A"/>
  <w15:docId w15:val="{FD5EA34F-6207-4A1F-B2B4-B72D512A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val="id-ID"/>
    </w:rPr>
  </w:style>
  <w:style w:type="paragraph" w:styleId="Heading1">
    <w:name w:val="heading 1"/>
    <w:basedOn w:val="Normal"/>
    <w:next w:val="Normal"/>
    <w:uiPriority w:val="9"/>
    <w:qFormat/>
    <w:pPr>
      <w:keepNext/>
      <w:keepLines/>
      <w:numPr>
        <w:numId w:val="1"/>
      </w:numPr>
      <w:spacing w:before="240" w:after="240" w:line="276" w:lineRule="auto"/>
      <w:ind w:left="-1" w:hanging="1"/>
      <w:jc w:val="left"/>
    </w:pPr>
    <w:rPr>
      <w:b/>
      <w:bCs/>
      <w:sz w:val="21"/>
      <w:szCs w:val="32"/>
    </w:rPr>
  </w:style>
  <w:style w:type="paragraph" w:styleId="Heading2">
    <w:name w:val="heading 2"/>
    <w:basedOn w:val="Heading1"/>
    <w:next w:val="Normal"/>
    <w:uiPriority w:val="9"/>
    <w:unhideWhenUsed/>
    <w:qFormat/>
    <w:pPr>
      <w:numPr>
        <w:ilvl w:val="1"/>
      </w:numPr>
      <w:spacing w:before="120" w:after="120"/>
      <w:ind w:left="567" w:hanging="567"/>
      <w:outlineLvl w:val="1"/>
    </w:pPr>
    <w:rPr>
      <w:bCs w:val="0"/>
      <w:i/>
      <w:iCs/>
      <w:sz w:val="20"/>
      <w:szCs w:val="26"/>
    </w:rPr>
  </w:style>
  <w:style w:type="paragraph" w:styleId="Heading3">
    <w:name w:val="heading 3"/>
    <w:basedOn w:val="Heading2"/>
    <w:next w:val="Normal"/>
    <w:uiPriority w:val="9"/>
    <w:semiHidden/>
    <w:unhideWhenUsed/>
    <w:qFormat/>
    <w:pPr>
      <w:numPr>
        <w:ilvl w:val="2"/>
      </w:numPr>
      <w:ind w:left="720" w:hanging="720"/>
      <w:outlineLvl w:val="2"/>
    </w:pPr>
    <w:rPr>
      <w:b w:val="0"/>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Heading1Char">
    <w:name w:val="Heading 1 Char"/>
    <w:rPr>
      <w:rFonts w:ascii="Times New Roman" w:eastAsia="Times New Roman" w:hAnsi="Times New Roman" w:cs="Times New Roman"/>
      <w:b/>
      <w:bCs/>
      <w:w w:val="100"/>
      <w:position w:val="-1"/>
      <w:sz w:val="21"/>
      <w:szCs w:val="32"/>
      <w:effect w:val="none"/>
      <w:vertAlign w:val="baseline"/>
      <w:cs w:val="0"/>
      <w:em w:val="none"/>
    </w:rPr>
  </w:style>
  <w:style w:type="character" w:customStyle="1" w:styleId="Heading2Char">
    <w:name w:val="Heading 2 Char"/>
    <w:rPr>
      <w:rFonts w:ascii="Times New Roman" w:eastAsia="Times New Roman" w:hAnsi="Times New Roman" w:cs="Times New Roman"/>
      <w:b/>
      <w:i/>
      <w:iCs/>
      <w:w w:val="100"/>
      <w:position w:val="-1"/>
      <w:sz w:val="20"/>
      <w:szCs w:val="26"/>
      <w:effect w:val="none"/>
      <w:vertAlign w:val="baseline"/>
      <w:cs w:val="0"/>
      <w:em w:val="none"/>
    </w:rPr>
  </w:style>
  <w:style w:type="character" w:customStyle="1" w:styleId="Heading3Char">
    <w:name w:val="Heading 3 Char"/>
    <w:rPr>
      <w:rFonts w:ascii="Times New Roman" w:eastAsia="Times New Roman" w:hAnsi="Times New Roman" w:cs="Times New Roman"/>
      <w:i/>
      <w:iCs/>
      <w:w w:val="100"/>
      <w:position w:val="-1"/>
      <w:sz w:val="20"/>
      <w:szCs w:val="26"/>
      <w:effect w:val="none"/>
      <w:vertAlign w:val="baseline"/>
      <w:cs w:val="0"/>
      <w:em w:val="none"/>
    </w:rPr>
  </w:style>
  <w:style w:type="paragraph" w:customStyle="1" w:styleId="ListParagraph1">
    <w:name w:val="List Paragraph1"/>
    <w:aliases w:val="Body of text"/>
    <w:basedOn w:val="Normal"/>
    <w:pPr>
      <w:ind w:left="720"/>
      <w:contextualSpacing/>
    </w:pPr>
  </w:style>
  <w:style w:type="paragraph" w:styleId="HTMLPreformatted">
    <w:name w:val="HTML Preformatted"/>
    <w:basedOn w:val="Normal"/>
    <w:qFormat/>
    <w:pPr>
      <w:spacing w:after="0" w:line="240" w:lineRule="auto"/>
      <w:jc w:val="left"/>
    </w:pPr>
    <w:rPr>
      <w:rFonts w:ascii="Courier New" w:hAnsi="Courier New" w:cs="Courier New"/>
      <w:sz w:val="20"/>
      <w:szCs w:val="20"/>
      <w:lang w:eastAsia="id-ID"/>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eastAsia="id-ID"/>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ListParagraphChar">
    <w:name w:val="List Paragraph Char"/>
    <w:aliases w:val="Body of text Char"/>
    <w:rPr>
      <w:rFonts w:ascii="Times New Roman" w:eastAsia="Calibri" w:hAnsi="Times New Roman" w:cs="Times New Roman"/>
      <w:w w:val="100"/>
      <w:position w:val="-1"/>
      <w:sz w:val="24"/>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F53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8035/jihhp.v5i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inastirev.org/JIH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eRCvY/S0VCFDUz1X9QHqffyWA==">CgMxLjAyCGguZ2pkZ3hzMgloLjMwajB6bGwyCWguMWZvYjl0ZTIJaC4zem55c2g3MgloLjJldDkycDAyCGgudHlqY3d0OAByITFIUEdSRFRmX3UzcmlqQVdNVTdfUk0tNHh5dXhRWEJzeg==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9584</Words>
  <Characters>54630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zahran askar</cp:lastModifiedBy>
  <cp:revision>4</cp:revision>
  <dcterms:created xsi:type="dcterms:W3CDTF">2025-03-18T10:53:00Z</dcterms:created>
  <dcterms:modified xsi:type="dcterms:W3CDTF">2025-03-18T14:17:00Z</dcterms:modified>
</cp:coreProperties>
</file>